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CB811" w14:textId="79DAA669" w:rsidR="00A24FED" w:rsidRDefault="00A24FED" w:rsidP="00A24FED">
      <w:pPr>
        <w:pStyle w:val="NormalWeb"/>
      </w:pPr>
      <w:r>
        <w:rPr>
          <w:rStyle w:val="Strong"/>
        </w:rPr>
        <w:t>1. Purpose</w:t>
      </w:r>
      <w:r>
        <w:t xml:space="preserve"> To provide a clear and compliant framework for using Workforce Innovation and Opportunity Act (WIOA) funds to pay for attorney and other legal fees directly related to the activities of the Greater Memphis Local Workforce Development Board (GMLWDB).</w:t>
      </w:r>
    </w:p>
    <w:p w14:paraId="682E3B77" w14:textId="2BE6477E" w:rsidR="00A24FED" w:rsidRDefault="00A24FED" w:rsidP="00A24FED">
      <w:pPr>
        <w:pStyle w:val="NormalWeb"/>
      </w:pPr>
      <w:r>
        <w:rPr>
          <w:rStyle w:val="Strong"/>
        </w:rPr>
        <w:t>2. Scope</w:t>
      </w:r>
      <w:r>
        <w:t xml:space="preserve"> This SOP applies to all staff and board members of the GMLWDB responsible for the management and use of WIOA funds.</w:t>
      </w:r>
    </w:p>
    <w:p w14:paraId="50AC3585" w14:textId="77777777" w:rsidR="00A24FED" w:rsidRDefault="00A24FED" w:rsidP="00A24FED">
      <w:pPr>
        <w:pStyle w:val="NormalWeb"/>
      </w:pPr>
      <w:r>
        <w:rPr>
          <w:rStyle w:val="Strong"/>
        </w:rPr>
        <w:t>3. Authority and Guidance</w:t>
      </w:r>
      <w:r>
        <w:t xml:space="preserve"> This SOP is based on the following federal regulations and guidance:</w:t>
      </w:r>
    </w:p>
    <w:p w14:paraId="798E21BB" w14:textId="77777777" w:rsidR="00A24FED" w:rsidRDefault="00A24FED" w:rsidP="00A24FED">
      <w:pPr>
        <w:pStyle w:val="NormalWeb"/>
        <w:numPr>
          <w:ilvl w:val="0"/>
          <w:numId w:val="33"/>
        </w:numPr>
      </w:pPr>
      <w:r>
        <w:t>Workforce Innovation and Opportunity Act (WIOA), Public Law 113-128.</w:t>
      </w:r>
    </w:p>
    <w:p w14:paraId="5CB0EAC8" w14:textId="77777777" w:rsidR="00A24FED" w:rsidRDefault="00A24FED" w:rsidP="00A24FED">
      <w:pPr>
        <w:pStyle w:val="NormalWeb"/>
        <w:numPr>
          <w:ilvl w:val="0"/>
          <w:numId w:val="33"/>
        </w:numPr>
      </w:pPr>
      <w:r>
        <w:t>2 CFR Part 200 (Uniform Administrative Requirements, Cost Principles, and Audit Requirements for Federal Awards).</w:t>
      </w:r>
    </w:p>
    <w:p w14:paraId="0A2BF192" w14:textId="77777777" w:rsidR="00A24FED" w:rsidRDefault="00A24FED" w:rsidP="00A24FED">
      <w:pPr>
        <w:pStyle w:val="NormalWeb"/>
        <w:numPr>
          <w:ilvl w:val="0"/>
          <w:numId w:val="33"/>
        </w:numPr>
      </w:pPr>
      <w:r>
        <w:t>U.S. Department of Labor (DOL) guidance, including Training and Employment Guidance Letters (TEGLs) and Frequently Asked Questions (FAQs).</w:t>
      </w:r>
    </w:p>
    <w:p w14:paraId="52DF2BA1" w14:textId="77777777" w:rsidR="00A24FED" w:rsidRDefault="00A24FED" w:rsidP="00A24FED">
      <w:pPr>
        <w:pStyle w:val="NormalWeb"/>
        <w:numPr>
          <w:ilvl w:val="0"/>
          <w:numId w:val="33"/>
        </w:numPr>
      </w:pPr>
      <w:r>
        <w:t>20 CFR Parts 676-678 (Regulations for Statewide and Local Workforce Development Systems).</w:t>
      </w:r>
    </w:p>
    <w:p w14:paraId="5699A52A" w14:textId="77777777" w:rsidR="00A24FED" w:rsidRDefault="00A24FED" w:rsidP="00A24FED">
      <w:pPr>
        <w:pStyle w:val="NormalWeb"/>
      </w:pPr>
      <w:r>
        <w:rPr>
          <w:rStyle w:val="Strong"/>
        </w:rPr>
        <w:t>4. Definitions</w:t>
      </w:r>
    </w:p>
    <w:p w14:paraId="5F6228C1" w14:textId="77777777" w:rsidR="00A24FED" w:rsidRDefault="00A24FED" w:rsidP="00A24FED">
      <w:pPr>
        <w:pStyle w:val="NormalWeb"/>
        <w:numPr>
          <w:ilvl w:val="0"/>
          <w:numId w:val="34"/>
        </w:numPr>
      </w:pPr>
      <w:r>
        <w:rPr>
          <w:rStyle w:val="Strong"/>
        </w:rPr>
        <w:t>Legal Fees:</w:t>
      </w:r>
      <w:r>
        <w:t xml:space="preserve"> Costs associated with attorney services or other legal support directly related to the operational or programmatic activities of the LWDB.</w:t>
      </w:r>
    </w:p>
    <w:p w14:paraId="53C24E8D" w14:textId="77777777" w:rsidR="00A24FED" w:rsidRDefault="00A24FED" w:rsidP="00A24FED">
      <w:pPr>
        <w:pStyle w:val="NormalWeb"/>
        <w:numPr>
          <w:ilvl w:val="0"/>
          <w:numId w:val="34"/>
        </w:numPr>
      </w:pPr>
      <w:r>
        <w:rPr>
          <w:rStyle w:val="Strong"/>
        </w:rPr>
        <w:t>Allowable Costs:</w:t>
      </w:r>
      <w:r>
        <w:t xml:space="preserve"> Costs that are necessary, reasonable, allocable, and compliant with WIOA and 2 CFR Part 200 regulations.</w:t>
      </w:r>
    </w:p>
    <w:p w14:paraId="604C5A47" w14:textId="77777777" w:rsidR="00A24FED" w:rsidRDefault="00A24FED" w:rsidP="00A24FED">
      <w:pPr>
        <w:pStyle w:val="NormalWeb"/>
      </w:pPr>
      <w:r>
        <w:rPr>
          <w:rStyle w:val="Strong"/>
        </w:rPr>
        <w:t>5. Responsibilities</w:t>
      </w:r>
    </w:p>
    <w:p w14:paraId="6C303493" w14:textId="77777777" w:rsidR="00A24FED" w:rsidRDefault="00A24FED" w:rsidP="00A24FED">
      <w:pPr>
        <w:pStyle w:val="NormalWeb"/>
        <w:numPr>
          <w:ilvl w:val="0"/>
          <w:numId w:val="35"/>
        </w:numPr>
      </w:pPr>
      <w:r>
        <w:rPr>
          <w:rStyle w:val="Strong"/>
        </w:rPr>
        <w:t>LWDB Director:</w:t>
      </w:r>
      <w:r>
        <w:t xml:space="preserve"> Ensures compliance with federal regulations and oversight of legal fee expenditures.</w:t>
      </w:r>
    </w:p>
    <w:p w14:paraId="105DE2FE" w14:textId="77777777" w:rsidR="00A24FED" w:rsidRDefault="00A24FED" w:rsidP="00A24FED">
      <w:pPr>
        <w:pStyle w:val="NormalWeb"/>
        <w:numPr>
          <w:ilvl w:val="0"/>
          <w:numId w:val="35"/>
        </w:numPr>
      </w:pPr>
      <w:r>
        <w:rPr>
          <w:rStyle w:val="Strong"/>
        </w:rPr>
        <w:t>Finance Department:</w:t>
      </w:r>
      <w:r>
        <w:t xml:space="preserve"> Reviews and processes payments for legal fees.</w:t>
      </w:r>
    </w:p>
    <w:p w14:paraId="7CD9D9D9" w14:textId="77777777" w:rsidR="00A24FED" w:rsidRDefault="00A24FED" w:rsidP="00A24FED">
      <w:pPr>
        <w:pStyle w:val="NormalWeb"/>
        <w:numPr>
          <w:ilvl w:val="0"/>
          <w:numId w:val="35"/>
        </w:numPr>
      </w:pPr>
      <w:r>
        <w:rPr>
          <w:rStyle w:val="Strong"/>
        </w:rPr>
        <w:t>Board Members:</w:t>
      </w:r>
      <w:r>
        <w:t xml:space="preserve"> Approve legal expenses in alignment with the board’s policies and WIOA requirements.</w:t>
      </w:r>
    </w:p>
    <w:p w14:paraId="4C876725" w14:textId="77777777" w:rsidR="00A24FED" w:rsidRDefault="00A24FED" w:rsidP="00A24FED">
      <w:pPr>
        <w:pStyle w:val="NormalWeb"/>
      </w:pPr>
      <w:r>
        <w:rPr>
          <w:rStyle w:val="Strong"/>
        </w:rPr>
        <w:t>6. Procedure</w:t>
      </w:r>
    </w:p>
    <w:p w14:paraId="018CE677" w14:textId="77777777" w:rsidR="00A24FED" w:rsidRDefault="00A24FED" w:rsidP="00A24FED">
      <w:pPr>
        <w:pStyle w:val="NormalWeb"/>
      </w:pPr>
      <w:r>
        <w:rPr>
          <w:rStyle w:val="Strong"/>
        </w:rPr>
        <w:t>6.1 Determining Allowability of Legal Fees</w:t>
      </w:r>
    </w:p>
    <w:p w14:paraId="1572058D" w14:textId="77777777" w:rsidR="00A24FED" w:rsidRDefault="00A24FED" w:rsidP="00A24FED">
      <w:pPr>
        <w:pStyle w:val="NormalWeb"/>
        <w:numPr>
          <w:ilvl w:val="0"/>
          <w:numId w:val="36"/>
        </w:numPr>
      </w:pPr>
      <w:r>
        <w:t>Verify that the legal fees are directly related to the administration or activities of the LWDB and meet the following criteria:</w:t>
      </w:r>
    </w:p>
    <w:p w14:paraId="524BAD0B" w14:textId="77777777" w:rsidR="00A24FED" w:rsidRDefault="00A24FED" w:rsidP="00A24FED">
      <w:pPr>
        <w:pStyle w:val="NormalWeb"/>
        <w:numPr>
          <w:ilvl w:val="1"/>
          <w:numId w:val="36"/>
        </w:numPr>
      </w:pPr>
      <w:r>
        <w:lastRenderedPageBreak/>
        <w:t>Necessary and reasonable for the proper performance of WIOA activities (2 CFR § 200.403).</w:t>
      </w:r>
    </w:p>
    <w:p w14:paraId="3C3A5487" w14:textId="77777777" w:rsidR="00A24FED" w:rsidRDefault="00A24FED" w:rsidP="00A24FED">
      <w:pPr>
        <w:pStyle w:val="NormalWeb"/>
        <w:numPr>
          <w:ilvl w:val="1"/>
          <w:numId w:val="36"/>
        </w:numPr>
      </w:pPr>
      <w:r>
        <w:t>Not prohibited under WIOA or other applicable laws.</w:t>
      </w:r>
    </w:p>
    <w:p w14:paraId="24C992D1" w14:textId="77777777" w:rsidR="00A24FED" w:rsidRDefault="00A24FED" w:rsidP="00A24FED">
      <w:pPr>
        <w:pStyle w:val="NormalWeb"/>
        <w:numPr>
          <w:ilvl w:val="1"/>
          <w:numId w:val="36"/>
        </w:numPr>
      </w:pPr>
      <w:r>
        <w:t>Allocable to the appropriate cost category as outlined in 2 CFR § 200.405.</w:t>
      </w:r>
    </w:p>
    <w:p w14:paraId="6412123F" w14:textId="77777777" w:rsidR="00A24FED" w:rsidRDefault="00A24FED" w:rsidP="00A24FED">
      <w:pPr>
        <w:pStyle w:val="NormalWeb"/>
        <w:numPr>
          <w:ilvl w:val="0"/>
          <w:numId w:val="36"/>
        </w:numPr>
      </w:pPr>
      <w:r>
        <w:t>Examples of allowable legal fees include:</w:t>
      </w:r>
    </w:p>
    <w:p w14:paraId="2452EF2D" w14:textId="77777777" w:rsidR="00A24FED" w:rsidRDefault="00A24FED" w:rsidP="00A24FED">
      <w:pPr>
        <w:pStyle w:val="NormalWeb"/>
        <w:numPr>
          <w:ilvl w:val="1"/>
          <w:numId w:val="36"/>
        </w:numPr>
      </w:pPr>
      <w:r>
        <w:t>Reviewing or drafting contracts and agreements related to WIOA programs.</w:t>
      </w:r>
    </w:p>
    <w:p w14:paraId="1CAE6798" w14:textId="77777777" w:rsidR="00A24FED" w:rsidRDefault="00A24FED" w:rsidP="00A24FED">
      <w:pPr>
        <w:pStyle w:val="NormalWeb"/>
        <w:numPr>
          <w:ilvl w:val="1"/>
          <w:numId w:val="36"/>
        </w:numPr>
      </w:pPr>
      <w:r>
        <w:t>Advising on compliance with federal or state workforce laws and regulations.</w:t>
      </w:r>
    </w:p>
    <w:p w14:paraId="69C8E851" w14:textId="77777777" w:rsidR="00A24FED" w:rsidRDefault="00A24FED" w:rsidP="00A24FED">
      <w:pPr>
        <w:pStyle w:val="NormalWeb"/>
        <w:numPr>
          <w:ilvl w:val="1"/>
          <w:numId w:val="36"/>
        </w:numPr>
      </w:pPr>
      <w:r>
        <w:t>Resolving disputes or addressing grievances related to WIOA activities.</w:t>
      </w:r>
    </w:p>
    <w:p w14:paraId="5B854ACF" w14:textId="77777777" w:rsidR="00A24FED" w:rsidRDefault="00A24FED" w:rsidP="00A24FED">
      <w:pPr>
        <w:pStyle w:val="NormalWeb"/>
        <w:numPr>
          <w:ilvl w:val="0"/>
          <w:numId w:val="36"/>
        </w:numPr>
      </w:pPr>
      <w:r>
        <w:t>Examples of unallowable legal fees include:</w:t>
      </w:r>
    </w:p>
    <w:p w14:paraId="2393C9CF" w14:textId="77777777" w:rsidR="00A24FED" w:rsidRDefault="00A24FED" w:rsidP="00A24FED">
      <w:pPr>
        <w:pStyle w:val="NormalWeb"/>
        <w:numPr>
          <w:ilvl w:val="1"/>
          <w:numId w:val="36"/>
        </w:numPr>
      </w:pPr>
      <w:r>
        <w:t>Costs related to lobbying activities (2 CFR § 200.450).</w:t>
      </w:r>
    </w:p>
    <w:p w14:paraId="77B1BF2C" w14:textId="77777777" w:rsidR="00A24FED" w:rsidRDefault="00A24FED" w:rsidP="00A24FED">
      <w:pPr>
        <w:pStyle w:val="NormalWeb"/>
        <w:numPr>
          <w:ilvl w:val="1"/>
          <w:numId w:val="36"/>
        </w:numPr>
      </w:pPr>
      <w:r>
        <w:t>Legal proceedings that are not directly tied to WIOA activities or are related to violations of law by the LWDB.</w:t>
      </w:r>
    </w:p>
    <w:p w14:paraId="78FFE4EE" w14:textId="77777777" w:rsidR="00A24FED" w:rsidRDefault="00A24FED" w:rsidP="00A24FED">
      <w:pPr>
        <w:pStyle w:val="NormalWeb"/>
      </w:pPr>
      <w:r>
        <w:rPr>
          <w:rStyle w:val="Strong"/>
        </w:rPr>
        <w:t>6.2 Obtaining Approvals</w:t>
      </w:r>
    </w:p>
    <w:p w14:paraId="0BFE78AC" w14:textId="544F6495" w:rsidR="00A24FED" w:rsidRDefault="00A24FED" w:rsidP="00A24FED">
      <w:pPr>
        <w:pStyle w:val="NormalWeb"/>
        <w:numPr>
          <w:ilvl w:val="0"/>
          <w:numId w:val="37"/>
        </w:numPr>
      </w:pPr>
      <w:r>
        <w:t xml:space="preserve">Obtain prior approval from the </w:t>
      </w:r>
      <w:r w:rsidR="0029563C">
        <w:t>GM</w:t>
      </w:r>
      <w:r>
        <w:t>LWDB or designated committee for legal expenditures exceeding a threshold defined in board policies.</w:t>
      </w:r>
    </w:p>
    <w:p w14:paraId="3C681BDA" w14:textId="77777777" w:rsidR="00A24FED" w:rsidRDefault="00A24FED" w:rsidP="00A24FED">
      <w:pPr>
        <w:pStyle w:val="NormalWeb"/>
        <w:numPr>
          <w:ilvl w:val="0"/>
          <w:numId w:val="37"/>
        </w:numPr>
      </w:pPr>
      <w:r>
        <w:t>Document the purpose and necessity of the legal fees in board meeting minutes or other official records.</w:t>
      </w:r>
    </w:p>
    <w:p w14:paraId="01014AF9" w14:textId="77777777" w:rsidR="00A24FED" w:rsidRDefault="00A24FED" w:rsidP="00A24FED">
      <w:pPr>
        <w:pStyle w:val="NormalWeb"/>
      </w:pPr>
      <w:r>
        <w:rPr>
          <w:rStyle w:val="Strong"/>
        </w:rPr>
        <w:t>6.3 Procuring Legal Services</w:t>
      </w:r>
    </w:p>
    <w:p w14:paraId="29A5DE97" w14:textId="77777777" w:rsidR="00A24FED" w:rsidRDefault="00A24FED" w:rsidP="00A24FED">
      <w:pPr>
        <w:pStyle w:val="NormalWeb"/>
        <w:numPr>
          <w:ilvl w:val="0"/>
          <w:numId w:val="38"/>
        </w:numPr>
      </w:pPr>
      <w:r>
        <w:t>Follow LWDB procurement policies and 2 CFR § 200.317-§ 200.326 to procure legal services.</w:t>
      </w:r>
    </w:p>
    <w:p w14:paraId="5B59202B" w14:textId="77777777" w:rsidR="00A24FED" w:rsidRDefault="00A24FED" w:rsidP="00A24FED">
      <w:pPr>
        <w:pStyle w:val="NormalWeb"/>
        <w:numPr>
          <w:ilvl w:val="0"/>
          <w:numId w:val="38"/>
        </w:numPr>
      </w:pPr>
      <w:r>
        <w:t>Ensure competitive bidding, if applicable, and document the procurement process.</w:t>
      </w:r>
    </w:p>
    <w:p w14:paraId="05340ABF" w14:textId="77777777" w:rsidR="00A24FED" w:rsidRDefault="00A24FED" w:rsidP="00A24FED">
      <w:pPr>
        <w:pStyle w:val="NormalWeb"/>
      </w:pPr>
      <w:r>
        <w:rPr>
          <w:rStyle w:val="Strong"/>
        </w:rPr>
        <w:t>6.4 Payment and Documentation</w:t>
      </w:r>
    </w:p>
    <w:p w14:paraId="388CF995" w14:textId="77777777" w:rsidR="00A24FED" w:rsidRDefault="00A24FED" w:rsidP="00A24FED">
      <w:pPr>
        <w:pStyle w:val="NormalWeb"/>
        <w:numPr>
          <w:ilvl w:val="0"/>
          <w:numId w:val="39"/>
        </w:numPr>
      </w:pPr>
      <w:r>
        <w:t>Submit invoices for legal fees to the Finance Department for review and payment.</w:t>
      </w:r>
    </w:p>
    <w:p w14:paraId="134FABD0" w14:textId="77777777" w:rsidR="00A24FED" w:rsidRDefault="00A24FED" w:rsidP="00A24FED">
      <w:pPr>
        <w:pStyle w:val="NormalWeb"/>
        <w:numPr>
          <w:ilvl w:val="0"/>
          <w:numId w:val="39"/>
        </w:numPr>
      </w:pPr>
      <w:r>
        <w:t>Retain the following documentation for audit purposes:</w:t>
      </w:r>
    </w:p>
    <w:p w14:paraId="727F0681" w14:textId="77777777" w:rsidR="00A24FED" w:rsidRDefault="00A24FED" w:rsidP="00A24FED">
      <w:pPr>
        <w:pStyle w:val="NormalWeb"/>
        <w:numPr>
          <w:ilvl w:val="1"/>
          <w:numId w:val="39"/>
        </w:numPr>
      </w:pPr>
      <w:r>
        <w:t>Legal services agreement or contract.</w:t>
      </w:r>
    </w:p>
    <w:p w14:paraId="0E2968B2" w14:textId="77777777" w:rsidR="00A24FED" w:rsidRDefault="00A24FED" w:rsidP="00A24FED">
      <w:pPr>
        <w:pStyle w:val="NormalWeb"/>
        <w:numPr>
          <w:ilvl w:val="1"/>
          <w:numId w:val="39"/>
        </w:numPr>
      </w:pPr>
      <w:r>
        <w:t>Invoices detailing the nature and hours of work performed.</w:t>
      </w:r>
    </w:p>
    <w:p w14:paraId="65A22271" w14:textId="77777777" w:rsidR="00A24FED" w:rsidRDefault="00A24FED" w:rsidP="00A24FED">
      <w:pPr>
        <w:pStyle w:val="NormalWeb"/>
        <w:numPr>
          <w:ilvl w:val="1"/>
          <w:numId w:val="39"/>
        </w:numPr>
      </w:pPr>
      <w:r>
        <w:t>Evidence of board or committee approval.</w:t>
      </w:r>
    </w:p>
    <w:p w14:paraId="18104895" w14:textId="77777777" w:rsidR="00A24FED" w:rsidRDefault="00A24FED" w:rsidP="00A24FED">
      <w:pPr>
        <w:pStyle w:val="NormalWeb"/>
      </w:pPr>
      <w:r>
        <w:rPr>
          <w:rStyle w:val="Strong"/>
        </w:rPr>
        <w:t>6.5 Monitoring and Compliance</w:t>
      </w:r>
    </w:p>
    <w:p w14:paraId="43BD3573" w14:textId="77777777" w:rsidR="00A24FED" w:rsidRDefault="00A24FED" w:rsidP="00A24FED">
      <w:pPr>
        <w:pStyle w:val="NormalWeb"/>
        <w:numPr>
          <w:ilvl w:val="0"/>
          <w:numId w:val="40"/>
        </w:numPr>
      </w:pPr>
      <w:r>
        <w:t>Conduct periodic reviews to ensure legal fee expenditures comply with WIOA and 2 CFR requirements.</w:t>
      </w:r>
    </w:p>
    <w:p w14:paraId="4CB854E4" w14:textId="77777777" w:rsidR="00A24FED" w:rsidRDefault="00A24FED" w:rsidP="00A24FED">
      <w:pPr>
        <w:pStyle w:val="NormalWeb"/>
        <w:numPr>
          <w:ilvl w:val="0"/>
          <w:numId w:val="40"/>
        </w:numPr>
      </w:pPr>
      <w:r>
        <w:t>Address any findings or concerns in a timely manner to maintain compliance.</w:t>
      </w:r>
    </w:p>
    <w:p w14:paraId="569DA00B" w14:textId="77777777" w:rsidR="00A24FED" w:rsidRDefault="00A24FED" w:rsidP="00A24FED">
      <w:pPr>
        <w:pStyle w:val="NormalWeb"/>
      </w:pPr>
      <w:r>
        <w:rPr>
          <w:rStyle w:val="Strong"/>
        </w:rPr>
        <w:lastRenderedPageBreak/>
        <w:t>7. Records Management</w:t>
      </w:r>
      <w:r>
        <w:t xml:space="preserve"> All records related to legal fees must be retained for the period specified under 2 CFR § 200.334, typically three years from the date of the final expenditure report.</w:t>
      </w:r>
    </w:p>
    <w:p w14:paraId="1256FF67" w14:textId="77777777" w:rsidR="006B7275" w:rsidRPr="00A87898" w:rsidRDefault="006B7275" w:rsidP="00A87898"/>
    <w:sectPr w:rsidR="006B7275" w:rsidRPr="00A87898" w:rsidSect="002C190C">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988B2" w14:textId="77777777" w:rsidR="00451AC3" w:rsidRDefault="00451AC3" w:rsidP="00CB0E43">
      <w:pPr>
        <w:spacing w:after="0" w:line="240" w:lineRule="auto"/>
      </w:pPr>
      <w:r>
        <w:separator/>
      </w:r>
    </w:p>
  </w:endnote>
  <w:endnote w:type="continuationSeparator" w:id="0">
    <w:p w14:paraId="108F9866" w14:textId="77777777" w:rsidR="00451AC3" w:rsidRDefault="00451AC3" w:rsidP="00CB0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7DE75" w14:textId="77777777" w:rsidR="000555C7" w:rsidRDefault="000555C7" w:rsidP="0005288C">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9F742E">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F742E">
      <w:rPr>
        <w:b/>
        <w:noProof/>
      </w:rPr>
      <w:t>2</w:t>
    </w:r>
    <w:r>
      <w:rPr>
        <w:b/>
        <w:sz w:val="24"/>
        <w:szCs w:val="24"/>
      </w:rPr>
      <w:fldChar w:fldCharType="end"/>
    </w:r>
  </w:p>
  <w:p w14:paraId="24EDDDC9" w14:textId="77777777" w:rsidR="000555C7" w:rsidRPr="0005288C" w:rsidRDefault="000555C7" w:rsidP="00052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4B0B8" w14:textId="77777777" w:rsidR="00451AC3" w:rsidRDefault="00451AC3" w:rsidP="00CB0E43">
      <w:pPr>
        <w:spacing w:after="0" w:line="240" w:lineRule="auto"/>
      </w:pPr>
      <w:r>
        <w:separator/>
      </w:r>
    </w:p>
  </w:footnote>
  <w:footnote w:type="continuationSeparator" w:id="0">
    <w:p w14:paraId="3B2CF3A0" w14:textId="77777777" w:rsidR="00451AC3" w:rsidRDefault="00451AC3" w:rsidP="00CB0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33"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33"/>
      <w:gridCol w:w="3552"/>
      <w:gridCol w:w="1667"/>
      <w:gridCol w:w="1281"/>
    </w:tblGrid>
    <w:tr w:rsidR="000555C7" w:rsidRPr="00F6419B" w14:paraId="4FC125E1" w14:textId="77777777">
      <w:trPr>
        <w:trHeight w:val="510"/>
      </w:trPr>
      <w:tc>
        <w:tcPr>
          <w:tcW w:w="4033" w:type="dxa"/>
          <w:vMerge w:val="restart"/>
          <w:tcBorders>
            <w:top w:val="single" w:sz="12" w:space="0" w:color="auto"/>
            <w:left w:val="single" w:sz="12" w:space="0" w:color="auto"/>
            <w:right w:val="single" w:sz="12" w:space="0" w:color="auto"/>
          </w:tcBorders>
          <w:vAlign w:val="center"/>
        </w:tcPr>
        <w:p w14:paraId="197ECB86" w14:textId="5E6C7884" w:rsidR="000555C7" w:rsidRDefault="000555C7" w:rsidP="0023293A">
          <w:pPr>
            <w:spacing w:after="0" w:line="240" w:lineRule="auto"/>
            <w:ind w:left="-180"/>
            <w:jc w:val="center"/>
          </w:pPr>
        </w:p>
        <w:p w14:paraId="682391B2" w14:textId="1B91BC71" w:rsidR="000555C7" w:rsidRPr="00950880" w:rsidRDefault="006251DB" w:rsidP="00380D3E">
          <w:pPr>
            <w:spacing w:line="240" w:lineRule="auto"/>
            <w:jc w:val="center"/>
          </w:pPr>
          <w:r>
            <w:rPr>
              <w:noProof/>
            </w:rPr>
            <w:drawing>
              <wp:inline distT="0" distB="0" distL="0" distR="0" wp14:anchorId="40F6EC6E" wp14:editId="5BD90656">
                <wp:extent cx="1276350" cy="1276350"/>
                <wp:effectExtent l="0" t="0" r="0" b="0"/>
                <wp:docPr id="1280211694" name="Picture 5" descr="A red white and blu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211694" name="Picture 5" descr="A red white and blue circle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8981" cy="1288981"/>
                        </a:xfrm>
                        <a:prstGeom prst="rect">
                          <a:avLst/>
                        </a:prstGeom>
                      </pic:spPr>
                    </pic:pic>
                  </a:graphicData>
                </a:graphic>
              </wp:inline>
            </w:drawing>
          </w:r>
        </w:p>
      </w:tc>
      <w:tc>
        <w:tcPr>
          <w:tcW w:w="3552" w:type="dxa"/>
          <w:vMerge w:val="restart"/>
          <w:tcBorders>
            <w:top w:val="single" w:sz="12" w:space="0" w:color="auto"/>
            <w:left w:val="single" w:sz="12" w:space="0" w:color="auto"/>
            <w:right w:val="single" w:sz="12" w:space="0" w:color="auto"/>
          </w:tcBorders>
          <w:vAlign w:val="center"/>
        </w:tcPr>
        <w:p w14:paraId="379946B9" w14:textId="77777777" w:rsidR="004832C9" w:rsidRDefault="004832C9" w:rsidP="004832C9">
          <w:pPr>
            <w:spacing w:after="0" w:line="240" w:lineRule="auto"/>
            <w:jc w:val="center"/>
            <w:rPr>
              <w:b/>
            </w:rPr>
          </w:pPr>
        </w:p>
        <w:p w14:paraId="728E2C2E" w14:textId="7A402878" w:rsidR="000555C7" w:rsidRPr="00A165AC" w:rsidRDefault="00380D3E" w:rsidP="00380D3E">
          <w:pPr>
            <w:spacing w:after="0" w:line="240" w:lineRule="auto"/>
            <w:jc w:val="center"/>
            <w:rPr>
              <w:b/>
              <w:bCs/>
            </w:rPr>
          </w:pPr>
          <w:r w:rsidRPr="00A165AC">
            <w:rPr>
              <w:b/>
              <w:bCs/>
            </w:rPr>
            <w:t xml:space="preserve">GMWDB: </w:t>
          </w:r>
        </w:p>
      </w:tc>
      <w:tc>
        <w:tcPr>
          <w:tcW w:w="1667" w:type="dxa"/>
          <w:tcBorders>
            <w:top w:val="single" w:sz="12" w:space="0" w:color="auto"/>
            <w:left w:val="single" w:sz="12" w:space="0" w:color="auto"/>
            <w:bottom w:val="single" w:sz="12" w:space="0" w:color="auto"/>
            <w:right w:val="single" w:sz="12" w:space="0" w:color="auto"/>
          </w:tcBorders>
          <w:vAlign w:val="center"/>
        </w:tcPr>
        <w:p w14:paraId="5341E40F" w14:textId="776F196D" w:rsidR="000555C7" w:rsidRPr="00A165AC" w:rsidRDefault="000555C7" w:rsidP="00F6419B">
          <w:pPr>
            <w:spacing w:after="0" w:line="240" w:lineRule="auto"/>
            <w:rPr>
              <w:b/>
              <w:bCs/>
            </w:rPr>
          </w:pPr>
          <w:r w:rsidRPr="00A165AC">
            <w:rPr>
              <w:b/>
              <w:bCs/>
            </w:rPr>
            <w:t xml:space="preserve">Policy </w:t>
          </w:r>
          <w:r w:rsidR="00380D3E" w:rsidRPr="00A165AC">
            <w:rPr>
              <w:b/>
              <w:bCs/>
            </w:rPr>
            <w:t>Version:</w:t>
          </w:r>
        </w:p>
      </w:tc>
      <w:tc>
        <w:tcPr>
          <w:tcW w:w="1281" w:type="dxa"/>
          <w:tcBorders>
            <w:top w:val="single" w:sz="12" w:space="0" w:color="auto"/>
            <w:left w:val="single" w:sz="12" w:space="0" w:color="auto"/>
            <w:bottom w:val="single" w:sz="12" w:space="0" w:color="auto"/>
            <w:right w:val="single" w:sz="12" w:space="0" w:color="auto"/>
          </w:tcBorders>
          <w:vAlign w:val="center"/>
        </w:tcPr>
        <w:p w14:paraId="21D6FD53" w14:textId="08E6F4AA" w:rsidR="000555C7" w:rsidRPr="00F6419B" w:rsidRDefault="00D05313" w:rsidP="0011469B">
          <w:pPr>
            <w:spacing w:after="0" w:line="240" w:lineRule="auto"/>
            <w:jc w:val="center"/>
          </w:pPr>
          <w:r>
            <w:t>1</w:t>
          </w:r>
        </w:p>
      </w:tc>
    </w:tr>
    <w:tr w:rsidR="000555C7" w:rsidRPr="00F6419B" w14:paraId="3D66F587" w14:textId="77777777">
      <w:trPr>
        <w:trHeight w:val="510"/>
      </w:trPr>
      <w:tc>
        <w:tcPr>
          <w:tcW w:w="4033" w:type="dxa"/>
          <w:vMerge/>
          <w:tcBorders>
            <w:left w:val="single" w:sz="12" w:space="0" w:color="auto"/>
            <w:right w:val="single" w:sz="12" w:space="0" w:color="auto"/>
          </w:tcBorders>
        </w:tcPr>
        <w:p w14:paraId="3FD70294" w14:textId="77777777" w:rsidR="000555C7" w:rsidRPr="00F6419B" w:rsidRDefault="000555C7" w:rsidP="00F6419B">
          <w:pPr>
            <w:spacing w:after="0" w:line="240" w:lineRule="auto"/>
          </w:pPr>
        </w:p>
      </w:tc>
      <w:tc>
        <w:tcPr>
          <w:tcW w:w="3552" w:type="dxa"/>
          <w:vMerge/>
          <w:tcBorders>
            <w:left w:val="single" w:sz="12" w:space="0" w:color="auto"/>
            <w:bottom w:val="single" w:sz="12" w:space="0" w:color="auto"/>
            <w:right w:val="single" w:sz="12" w:space="0" w:color="auto"/>
          </w:tcBorders>
        </w:tcPr>
        <w:p w14:paraId="368AB970" w14:textId="77777777" w:rsidR="000555C7" w:rsidRPr="00F6419B" w:rsidRDefault="000555C7" w:rsidP="00F6419B">
          <w:pPr>
            <w:spacing w:after="0" w:line="240" w:lineRule="auto"/>
          </w:pPr>
        </w:p>
      </w:tc>
      <w:tc>
        <w:tcPr>
          <w:tcW w:w="1667" w:type="dxa"/>
          <w:tcBorders>
            <w:top w:val="single" w:sz="12" w:space="0" w:color="auto"/>
            <w:left w:val="single" w:sz="12" w:space="0" w:color="auto"/>
            <w:right w:val="single" w:sz="12" w:space="0" w:color="auto"/>
          </w:tcBorders>
          <w:vAlign w:val="center"/>
        </w:tcPr>
        <w:p w14:paraId="02F8D715" w14:textId="1AC7A0C3" w:rsidR="000555C7" w:rsidRPr="00A165AC" w:rsidRDefault="000555C7" w:rsidP="00F6419B">
          <w:pPr>
            <w:spacing w:after="0" w:line="240" w:lineRule="auto"/>
            <w:rPr>
              <w:b/>
              <w:bCs/>
            </w:rPr>
          </w:pPr>
          <w:r w:rsidRPr="00A165AC">
            <w:rPr>
              <w:b/>
              <w:bCs/>
            </w:rPr>
            <w:t>Effective Date</w:t>
          </w:r>
          <w:r w:rsidR="00380D3E" w:rsidRPr="00A165AC">
            <w:rPr>
              <w:b/>
              <w:bCs/>
            </w:rPr>
            <w:t>:</w:t>
          </w:r>
        </w:p>
      </w:tc>
      <w:tc>
        <w:tcPr>
          <w:tcW w:w="1281" w:type="dxa"/>
          <w:tcBorders>
            <w:top w:val="single" w:sz="12" w:space="0" w:color="auto"/>
            <w:left w:val="single" w:sz="12" w:space="0" w:color="auto"/>
            <w:right w:val="single" w:sz="12" w:space="0" w:color="auto"/>
          </w:tcBorders>
          <w:vAlign w:val="center"/>
        </w:tcPr>
        <w:p w14:paraId="1F5FE87E" w14:textId="4DED44C0" w:rsidR="000555C7" w:rsidRPr="00F6419B" w:rsidRDefault="00A24FED" w:rsidP="00F6419B">
          <w:pPr>
            <w:spacing w:after="0" w:line="240" w:lineRule="auto"/>
            <w:jc w:val="center"/>
          </w:pPr>
          <w:r>
            <w:t>1/22/25</w:t>
          </w:r>
        </w:p>
      </w:tc>
    </w:tr>
    <w:tr w:rsidR="000555C7" w:rsidRPr="00F6419B" w14:paraId="75E0BD38" w14:textId="77777777">
      <w:trPr>
        <w:trHeight w:val="530"/>
      </w:trPr>
      <w:tc>
        <w:tcPr>
          <w:tcW w:w="4033" w:type="dxa"/>
          <w:vMerge/>
          <w:tcBorders>
            <w:left w:val="single" w:sz="12" w:space="0" w:color="auto"/>
            <w:bottom w:val="single" w:sz="12" w:space="0" w:color="auto"/>
            <w:right w:val="single" w:sz="12" w:space="0" w:color="auto"/>
          </w:tcBorders>
        </w:tcPr>
        <w:p w14:paraId="31E61F06" w14:textId="77777777" w:rsidR="000555C7" w:rsidRPr="00F6419B" w:rsidRDefault="000555C7" w:rsidP="00F6419B">
          <w:pPr>
            <w:spacing w:after="0" w:line="240" w:lineRule="auto"/>
          </w:pPr>
        </w:p>
      </w:tc>
      <w:tc>
        <w:tcPr>
          <w:tcW w:w="3552" w:type="dxa"/>
          <w:vMerge w:val="restart"/>
          <w:tcBorders>
            <w:top w:val="single" w:sz="12" w:space="0" w:color="auto"/>
            <w:left w:val="single" w:sz="12" w:space="0" w:color="auto"/>
            <w:right w:val="single" w:sz="12" w:space="0" w:color="auto"/>
          </w:tcBorders>
          <w:vAlign w:val="center"/>
        </w:tcPr>
        <w:p w14:paraId="0F45C38F" w14:textId="3A4E62E7" w:rsidR="00DC2F7E" w:rsidRDefault="000555C7" w:rsidP="004832C9">
          <w:pPr>
            <w:spacing w:after="0" w:line="240" w:lineRule="auto"/>
            <w:jc w:val="center"/>
            <w:rPr>
              <w:b/>
              <w:bCs/>
            </w:rPr>
          </w:pPr>
          <w:r w:rsidRPr="00A165AC">
            <w:rPr>
              <w:b/>
              <w:bCs/>
            </w:rPr>
            <w:t xml:space="preserve">Subject: </w:t>
          </w:r>
          <w:r w:rsidR="00A24FED">
            <w:rPr>
              <w:rStyle w:val="Strong"/>
            </w:rPr>
            <w:t>Procedure for Utilizing WIOA Funds for Legal Fees</w:t>
          </w:r>
        </w:p>
        <w:p w14:paraId="644100FE" w14:textId="152B9C1B" w:rsidR="000555C7" w:rsidRPr="00A165AC" w:rsidRDefault="000555C7" w:rsidP="004832C9">
          <w:pPr>
            <w:spacing w:after="0" w:line="240" w:lineRule="auto"/>
            <w:jc w:val="center"/>
            <w:rPr>
              <w:b/>
              <w:bCs/>
            </w:rPr>
          </w:pPr>
          <w:r w:rsidRPr="00A165AC">
            <w:rPr>
              <w:b/>
              <w:bCs/>
            </w:rPr>
            <w:t xml:space="preserve"> </w:t>
          </w:r>
        </w:p>
      </w:tc>
      <w:tc>
        <w:tcPr>
          <w:tcW w:w="1667" w:type="dxa"/>
          <w:tcBorders>
            <w:top w:val="single" w:sz="12" w:space="0" w:color="auto"/>
            <w:left w:val="single" w:sz="12" w:space="0" w:color="auto"/>
            <w:bottom w:val="single" w:sz="8" w:space="0" w:color="auto"/>
            <w:right w:val="single" w:sz="12" w:space="0" w:color="auto"/>
          </w:tcBorders>
          <w:vAlign w:val="center"/>
        </w:tcPr>
        <w:p w14:paraId="2CD00BFB" w14:textId="223628E7" w:rsidR="000555C7" w:rsidRPr="00A165AC" w:rsidRDefault="00C76D8C" w:rsidP="00F6419B">
          <w:pPr>
            <w:spacing w:after="0" w:line="240" w:lineRule="auto"/>
            <w:rPr>
              <w:b/>
              <w:bCs/>
            </w:rPr>
          </w:pPr>
          <w:r>
            <w:rPr>
              <w:b/>
              <w:bCs/>
            </w:rPr>
            <w:t>Board Approved:</w:t>
          </w:r>
        </w:p>
      </w:tc>
      <w:tc>
        <w:tcPr>
          <w:tcW w:w="1281" w:type="dxa"/>
          <w:tcBorders>
            <w:top w:val="single" w:sz="12" w:space="0" w:color="auto"/>
            <w:left w:val="single" w:sz="12" w:space="0" w:color="auto"/>
            <w:bottom w:val="single" w:sz="8" w:space="0" w:color="auto"/>
            <w:right w:val="single" w:sz="12" w:space="0" w:color="auto"/>
          </w:tcBorders>
          <w:vAlign w:val="center"/>
        </w:tcPr>
        <w:p w14:paraId="446871C0" w14:textId="3036BF67" w:rsidR="000555C7" w:rsidRPr="00F6419B" w:rsidRDefault="00F67C1E" w:rsidP="00F6419B">
          <w:pPr>
            <w:spacing w:after="0" w:line="240" w:lineRule="auto"/>
            <w:jc w:val="center"/>
          </w:pPr>
          <w:r>
            <w:t>1/22/25</w:t>
          </w:r>
        </w:p>
      </w:tc>
    </w:tr>
    <w:tr w:rsidR="000555C7" w:rsidRPr="00F6419B" w14:paraId="6B6AA606" w14:textId="77777777">
      <w:trPr>
        <w:trHeight w:val="340"/>
      </w:trPr>
      <w:tc>
        <w:tcPr>
          <w:tcW w:w="4033" w:type="dxa"/>
          <w:vMerge/>
          <w:tcBorders>
            <w:top w:val="single" w:sz="12" w:space="0" w:color="auto"/>
            <w:left w:val="single" w:sz="12" w:space="0" w:color="auto"/>
            <w:bottom w:val="single" w:sz="12" w:space="0" w:color="auto"/>
            <w:right w:val="single" w:sz="12" w:space="0" w:color="auto"/>
          </w:tcBorders>
        </w:tcPr>
        <w:p w14:paraId="49C811D1" w14:textId="77777777" w:rsidR="000555C7" w:rsidRPr="00F6419B" w:rsidRDefault="000555C7" w:rsidP="00F6419B">
          <w:pPr>
            <w:spacing w:after="0" w:line="240" w:lineRule="auto"/>
          </w:pPr>
        </w:p>
      </w:tc>
      <w:tc>
        <w:tcPr>
          <w:tcW w:w="3552" w:type="dxa"/>
          <w:vMerge/>
          <w:tcBorders>
            <w:left w:val="single" w:sz="12" w:space="0" w:color="auto"/>
            <w:bottom w:val="single" w:sz="12" w:space="0" w:color="auto"/>
            <w:right w:val="single" w:sz="12" w:space="0" w:color="auto"/>
          </w:tcBorders>
        </w:tcPr>
        <w:p w14:paraId="1B605E2A" w14:textId="77777777" w:rsidR="000555C7" w:rsidRPr="00F6419B" w:rsidRDefault="000555C7" w:rsidP="00F6419B">
          <w:pPr>
            <w:spacing w:after="0" w:line="240" w:lineRule="auto"/>
          </w:pPr>
        </w:p>
      </w:tc>
      <w:tc>
        <w:tcPr>
          <w:tcW w:w="1667" w:type="dxa"/>
          <w:tcBorders>
            <w:top w:val="single" w:sz="12" w:space="0" w:color="auto"/>
            <w:left w:val="single" w:sz="12" w:space="0" w:color="auto"/>
            <w:bottom w:val="single" w:sz="12" w:space="0" w:color="auto"/>
            <w:right w:val="single" w:sz="12" w:space="0" w:color="auto"/>
          </w:tcBorders>
          <w:vAlign w:val="center"/>
        </w:tcPr>
        <w:p w14:paraId="5B091F90" w14:textId="3FAE686A" w:rsidR="000555C7" w:rsidRPr="00A165AC" w:rsidRDefault="000555C7" w:rsidP="00F6419B">
          <w:pPr>
            <w:spacing w:after="0" w:line="240" w:lineRule="auto"/>
            <w:rPr>
              <w:b/>
              <w:bCs/>
            </w:rPr>
          </w:pPr>
          <w:r w:rsidRPr="00A165AC">
            <w:rPr>
              <w:b/>
              <w:bCs/>
            </w:rPr>
            <w:t>Supersedes</w:t>
          </w:r>
          <w:r w:rsidR="00380D3E" w:rsidRPr="00A165AC">
            <w:rPr>
              <w:b/>
              <w:bCs/>
            </w:rPr>
            <w:t xml:space="preserve">: </w:t>
          </w:r>
        </w:p>
      </w:tc>
      <w:tc>
        <w:tcPr>
          <w:tcW w:w="1281" w:type="dxa"/>
          <w:tcBorders>
            <w:top w:val="single" w:sz="12" w:space="0" w:color="auto"/>
            <w:left w:val="single" w:sz="12" w:space="0" w:color="auto"/>
            <w:bottom w:val="single" w:sz="12" w:space="0" w:color="auto"/>
            <w:right w:val="single" w:sz="12" w:space="0" w:color="auto"/>
          </w:tcBorders>
          <w:vAlign w:val="center"/>
        </w:tcPr>
        <w:p w14:paraId="080CBAE5" w14:textId="2122E3DF" w:rsidR="000555C7" w:rsidRPr="00F6419B" w:rsidRDefault="00F67C1E" w:rsidP="00F6419B">
          <w:pPr>
            <w:spacing w:after="0" w:line="240" w:lineRule="auto"/>
            <w:jc w:val="center"/>
          </w:pPr>
          <w:r>
            <w:t>N/A</w:t>
          </w:r>
        </w:p>
      </w:tc>
    </w:tr>
  </w:tbl>
  <w:p w14:paraId="75703547" w14:textId="77777777" w:rsidR="000555C7" w:rsidRDefault="00055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67F"/>
    <w:multiLevelType w:val="hybridMultilevel"/>
    <w:tmpl w:val="455A0DB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8ED2BF7"/>
    <w:multiLevelType w:val="multilevel"/>
    <w:tmpl w:val="B05C3F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9A7C9B"/>
    <w:multiLevelType w:val="multilevel"/>
    <w:tmpl w:val="249CD5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A96FD5"/>
    <w:multiLevelType w:val="multilevel"/>
    <w:tmpl w:val="70BC7196"/>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173E664B"/>
    <w:multiLevelType w:val="hybridMultilevel"/>
    <w:tmpl w:val="C06A3B52"/>
    <w:lvl w:ilvl="0" w:tplc="04090003">
      <w:start w:val="1"/>
      <w:numFmt w:val="bullet"/>
      <w:lvlText w:val="o"/>
      <w:lvlJc w:val="left"/>
      <w:pPr>
        <w:tabs>
          <w:tab w:val="num" w:pos="2520"/>
        </w:tabs>
        <w:ind w:left="2520" w:hanging="360"/>
      </w:pPr>
      <w:rPr>
        <w:rFonts w:ascii="Courier New" w:hAnsi="Courier New" w:cs="Courier New"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18DD16C8"/>
    <w:multiLevelType w:val="hybridMultilevel"/>
    <w:tmpl w:val="7BEEE1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EB1930"/>
    <w:multiLevelType w:val="multilevel"/>
    <w:tmpl w:val="195E7F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575AF7"/>
    <w:multiLevelType w:val="hybridMultilevel"/>
    <w:tmpl w:val="ED12623E"/>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D590E2A"/>
    <w:multiLevelType w:val="hybridMultilevel"/>
    <w:tmpl w:val="040EE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76625A"/>
    <w:multiLevelType w:val="hybridMultilevel"/>
    <w:tmpl w:val="E3584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B65038"/>
    <w:multiLevelType w:val="multilevel"/>
    <w:tmpl w:val="5C4E97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DB4752"/>
    <w:multiLevelType w:val="hybridMultilevel"/>
    <w:tmpl w:val="A5C615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6C3ECD"/>
    <w:multiLevelType w:val="hybridMultilevel"/>
    <w:tmpl w:val="1AF0E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C93FB6"/>
    <w:multiLevelType w:val="multilevel"/>
    <w:tmpl w:val="C874A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DD0023"/>
    <w:multiLevelType w:val="multilevel"/>
    <w:tmpl w:val="C42A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8352C7"/>
    <w:multiLevelType w:val="multilevel"/>
    <w:tmpl w:val="D8BE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F96945"/>
    <w:multiLevelType w:val="hybridMultilevel"/>
    <w:tmpl w:val="7F9642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DD2ECC"/>
    <w:multiLevelType w:val="multilevel"/>
    <w:tmpl w:val="05D40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785766"/>
    <w:multiLevelType w:val="hybridMultilevel"/>
    <w:tmpl w:val="B0CAB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FD661D"/>
    <w:multiLevelType w:val="hybridMultilevel"/>
    <w:tmpl w:val="46B04D4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D2F6B09"/>
    <w:multiLevelType w:val="hybridMultilevel"/>
    <w:tmpl w:val="FC18F208"/>
    <w:lvl w:ilvl="0" w:tplc="39A864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E114F89"/>
    <w:multiLevelType w:val="hybridMultilevel"/>
    <w:tmpl w:val="894E1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D9204A"/>
    <w:multiLevelType w:val="multilevel"/>
    <w:tmpl w:val="C5A4A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9C581F"/>
    <w:multiLevelType w:val="multilevel"/>
    <w:tmpl w:val="EFA08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094A10"/>
    <w:multiLevelType w:val="multilevel"/>
    <w:tmpl w:val="361C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172F5D"/>
    <w:multiLevelType w:val="hybridMultilevel"/>
    <w:tmpl w:val="70BC7196"/>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15:restartNumberingAfterBreak="0">
    <w:nsid w:val="536B73A8"/>
    <w:multiLevelType w:val="hybridMultilevel"/>
    <w:tmpl w:val="4CB29B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7D3737D"/>
    <w:multiLevelType w:val="hybridMultilevel"/>
    <w:tmpl w:val="5CC20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1B52008"/>
    <w:multiLevelType w:val="multilevel"/>
    <w:tmpl w:val="C06A3B52"/>
    <w:lvl w:ilvl="0">
      <w:start w:val="1"/>
      <w:numFmt w:val="bullet"/>
      <w:lvlText w:val="o"/>
      <w:lvlJc w:val="left"/>
      <w:pPr>
        <w:tabs>
          <w:tab w:val="num" w:pos="2520"/>
        </w:tabs>
        <w:ind w:left="2520" w:hanging="360"/>
      </w:pPr>
      <w:rPr>
        <w:rFonts w:ascii="Courier New" w:hAnsi="Courier New" w:cs="Courier New"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29" w15:restartNumberingAfterBreak="0">
    <w:nsid w:val="628C5BA6"/>
    <w:multiLevelType w:val="multilevel"/>
    <w:tmpl w:val="910A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DD4379"/>
    <w:multiLevelType w:val="hybridMultilevel"/>
    <w:tmpl w:val="4642D2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9413E67"/>
    <w:multiLevelType w:val="hybridMultilevel"/>
    <w:tmpl w:val="22020F54"/>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32" w15:restartNumberingAfterBreak="0">
    <w:nsid w:val="6ED76DE2"/>
    <w:multiLevelType w:val="multilevel"/>
    <w:tmpl w:val="98104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432399"/>
    <w:multiLevelType w:val="hybridMultilevel"/>
    <w:tmpl w:val="D7EC05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1C008A"/>
    <w:multiLevelType w:val="multilevel"/>
    <w:tmpl w:val="9F68C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D112B4"/>
    <w:multiLevelType w:val="multilevel"/>
    <w:tmpl w:val="495A5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DC2A56"/>
    <w:multiLevelType w:val="hybridMultilevel"/>
    <w:tmpl w:val="D45A28EA"/>
    <w:lvl w:ilvl="0" w:tplc="04090001">
      <w:start w:val="1"/>
      <w:numFmt w:val="bullet"/>
      <w:lvlText w:val=""/>
      <w:lvlJc w:val="left"/>
      <w:pPr>
        <w:tabs>
          <w:tab w:val="num" w:pos="2224"/>
        </w:tabs>
        <w:ind w:left="2224" w:hanging="360"/>
      </w:pPr>
      <w:rPr>
        <w:rFonts w:ascii="Symbol" w:hAnsi="Symbol" w:hint="default"/>
      </w:rPr>
    </w:lvl>
    <w:lvl w:ilvl="1" w:tplc="04090003" w:tentative="1">
      <w:start w:val="1"/>
      <w:numFmt w:val="bullet"/>
      <w:lvlText w:val="o"/>
      <w:lvlJc w:val="left"/>
      <w:pPr>
        <w:tabs>
          <w:tab w:val="num" w:pos="2944"/>
        </w:tabs>
        <w:ind w:left="2944" w:hanging="360"/>
      </w:pPr>
      <w:rPr>
        <w:rFonts w:ascii="Courier New" w:hAnsi="Courier New" w:cs="Courier New" w:hint="default"/>
      </w:rPr>
    </w:lvl>
    <w:lvl w:ilvl="2" w:tplc="04090005" w:tentative="1">
      <w:start w:val="1"/>
      <w:numFmt w:val="bullet"/>
      <w:lvlText w:val=""/>
      <w:lvlJc w:val="left"/>
      <w:pPr>
        <w:tabs>
          <w:tab w:val="num" w:pos="3664"/>
        </w:tabs>
        <w:ind w:left="3664" w:hanging="360"/>
      </w:pPr>
      <w:rPr>
        <w:rFonts w:ascii="Wingdings" w:hAnsi="Wingdings" w:hint="default"/>
      </w:rPr>
    </w:lvl>
    <w:lvl w:ilvl="3" w:tplc="04090001" w:tentative="1">
      <w:start w:val="1"/>
      <w:numFmt w:val="bullet"/>
      <w:lvlText w:val=""/>
      <w:lvlJc w:val="left"/>
      <w:pPr>
        <w:tabs>
          <w:tab w:val="num" w:pos="4384"/>
        </w:tabs>
        <w:ind w:left="4384" w:hanging="360"/>
      </w:pPr>
      <w:rPr>
        <w:rFonts w:ascii="Symbol" w:hAnsi="Symbol" w:hint="default"/>
      </w:rPr>
    </w:lvl>
    <w:lvl w:ilvl="4" w:tplc="04090003" w:tentative="1">
      <w:start w:val="1"/>
      <w:numFmt w:val="bullet"/>
      <w:lvlText w:val="o"/>
      <w:lvlJc w:val="left"/>
      <w:pPr>
        <w:tabs>
          <w:tab w:val="num" w:pos="5104"/>
        </w:tabs>
        <w:ind w:left="5104" w:hanging="360"/>
      </w:pPr>
      <w:rPr>
        <w:rFonts w:ascii="Courier New" w:hAnsi="Courier New" w:cs="Courier New" w:hint="default"/>
      </w:rPr>
    </w:lvl>
    <w:lvl w:ilvl="5" w:tplc="04090005" w:tentative="1">
      <w:start w:val="1"/>
      <w:numFmt w:val="bullet"/>
      <w:lvlText w:val=""/>
      <w:lvlJc w:val="left"/>
      <w:pPr>
        <w:tabs>
          <w:tab w:val="num" w:pos="5824"/>
        </w:tabs>
        <w:ind w:left="5824" w:hanging="360"/>
      </w:pPr>
      <w:rPr>
        <w:rFonts w:ascii="Wingdings" w:hAnsi="Wingdings" w:hint="default"/>
      </w:rPr>
    </w:lvl>
    <w:lvl w:ilvl="6" w:tplc="04090001" w:tentative="1">
      <w:start w:val="1"/>
      <w:numFmt w:val="bullet"/>
      <w:lvlText w:val=""/>
      <w:lvlJc w:val="left"/>
      <w:pPr>
        <w:tabs>
          <w:tab w:val="num" w:pos="6544"/>
        </w:tabs>
        <w:ind w:left="6544" w:hanging="360"/>
      </w:pPr>
      <w:rPr>
        <w:rFonts w:ascii="Symbol" w:hAnsi="Symbol" w:hint="default"/>
      </w:rPr>
    </w:lvl>
    <w:lvl w:ilvl="7" w:tplc="04090003" w:tentative="1">
      <w:start w:val="1"/>
      <w:numFmt w:val="bullet"/>
      <w:lvlText w:val="o"/>
      <w:lvlJc w:val="left"/>
      <w:pPr>
        <w:tabs>
          <w:tab w:val="num" w:pos="7264"/>
        </w:tabs>
        <w:ind w:left="7264" w:hanging="360"/>
      </w:pPr>
      <w:rPr>
        <w:rFonts w:ascii="Courier New" w:hAnsi="Courier New" w:cs="Courier New" w:hint="default"/>
      </w:rPr>
    </w:lvl>
    <w:lvl w:ilvl="8" w:tplc="04090005" w:tentative="1">
      <w:start w:val="1"/>
      <w:numFmt w:val="bullet"/>
      <w:lvlText w:val=""/>
      <w:lvlJc w:val="left"/>
      <w:pPr>
        <w:tabs>
          <w:tab w:val="num" w:pos="7984"/>
        </w:tabs>
        <w:ind w:left="7984" w:hanging="360"/>
      </w:pPr>
      <w:rPr>
        <w:rFonts w:ascii="Wingdings" w:hAnsi="Wingdings" w:hint="default"/>
      </w:rPr>
    </w:lvl>
  </w:abstractNum>
  <w:abstractNum w:abstractNumId="37" w15:restartNumberingAfterBreak="0">
    <w:nsid w:val="77D03709"/>
    <w:multiLevelType w:val="hybridMultilevel"/>
    <w:tmpl w:val="FBC093F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C2F6C64"/>
    <w:multiLevelType w:val="multilevel"/>
    <w:tmpl w:val="F170E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E432CA"/>
    <w:multiLevelType w:val="multilevel"/>
    <w:tmpl w:val="4E7A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6617450">
    <w:abstractNumId w:val="27"/>
  </w:num>
  <w:num w:numId="2" w16cid:durableId="2129159234">
    <w:abstractNumId w:val="20"/>
  </w:num>
  <w:num w:numId="3" w16cid:durableId="2030062108">
    <w:abstractNumId w:val="0"/>
  </w:num>
  <w:num w:numId="4" w16cid:durableId="1320108778">
    <w:abstractNumId w:val="19"/>
  </w:num>
  <w:num w:numId="5" w16cid:durableId="2051563160">
    <w:abstractNumId w:val="36"/>
  </w:num>
  <w:num w:numId="6" w16cid:durableId="1906137685">
    <w:abstractNumId w:val="37"/>
  </w:num>
  <w:num w:numId="7" w16cid:durableId="576090082">
    <w:abstractNumId w:val="5"/>
  </w:num>
  <w:num w:numId="8" w16cid:durableId="1235625292">
    <w:abstractNumId w:val="9"/>
  </w:num>
  <w:num w:numId="9" w16cid:durableId="1425106446">
    <w:abstractNumId w:val="8"/>
  </w:num>
  <w:num w:numId="10" w16cid:durableId="872889556">
    <w:abstractNumId w:val="18"/>
  </w:num>
  <w:num w:numId="11" w16cid:durableId="1558466859">
    <w:abstractNumId w:val="12"/>
  </w:num>
  <w:num w:numId="12" w16cid:durableId="1096511751">
    <w:abstractNumId w:val="16"/>
  </w:num>
  <w:num w:numId="13" w16cid:durableId="1180506032">
    <w:abstractNumId w:val="21"/>
  </w:num>
  <w:num w:numId="14" w16cid:durableId="916983336">
    <w:abstractNumId w:val="31"/>
  </w:num>
  <w:num w:numId="15" w16cid:durableId="1267688960">
    <w:abstractNumId w:val="25"/>
  </w:num>
  <w:num w:numId="16" w16cid:durableId="1527907519">
    <w:abstractNumId w:val="3"/>
  </w:num>
  <w:num w:numId="17" w16cid:durableId="1079913090">
    <w:abstractNumId w:val="4"/>
  </w:num>
  <w:num w:numId="18" w16cid:durableId="816603175">
    <w:abstractNumId w:val="28"/>
  </w:num>
  <w:num w:numId="19" w16cid:durableId="1466462787">
    <w:abstractNumId w:val="7"/>
  </w:num>
  <w:num w:numId="20" w16cid:durableId="375398183">
    <w:abstractNumId w:val="33"/>
  </w:num>
  <w:num w:numId="21" w16cid:durableId="2093701172">
    <w:abstractNumId w:val="30"/>
  </w:num>
  <w:num w:numId="22" w16cid:durableId="1646621649">
    <w:abstractNumId w:val="26"/>
  </w:num>
  <w:num w:numId="23" w16cid:durableId="776411479">
    <w:abstractNumId w:val="11"/>
  </w:num>
  <w:num w:numId="24" w16cid:durableId="365567698">
    <w:abstractNumId w:val="39"/>
  </w:num>
  <w:num w:numId="25" w16cid:durableId="229199569">
    <w:abstractNumId w:val="14"/>
  </w:num>
  <w:num w:numId="26" w16cid:durableId="1690832473">
    <w:abstractNumId w:val="32"/>
  </w:num>
  <w:num w:numId="27" w16cid:durableId="601648309">
    <w:abstractNumId w:val="2"/>
  </w:num>
  <w:num w:numId="28" w16cid:durableId="477036984">
    <w:abstractNumId w:val="15"/>
  </w:num>
  <w:num w:numId="29" w16cid:durableId="109399579">
    <w:abstractNumId w:val="10"/>
  </w:num>
  <w:num w:numId="30" w16cid:durableId="743451586">
    <w:abstractNumId w:val="13"/>
  </w:num>
  <w:num w:numId="31" w16cid:durableId="1557935672">
    <w:abstractNumId w:val="38"/>
  </w:num>
  <w:num w:numId="32" w16cid:durableId="114374315">
    <w:abstractNumId w:val="24"/>
  </w:num>
  <w:num w:numId="33" w16cid:durableId="1831944932">
    <w:abstractNumId w:val="22"/>
  </w:num>
  <w:num w:numId="34" w16cid:durableId="1077439417">
    <w:abstractNumId w:val="34"/>
  </w:num>
  <w:num w:numId="35" w16cid:durableId="617831627">
    <w:abstractNumId w:val="29"/>
  </w:num>
  <w:num w:numId="36" w16cid:durableId="80489175">
    <w:abstractNumId w:val="6"/>
  </w:num>
  <w:num w:numId="37" w16cid:durableId="220676403">
    <w:abstractNumId w:val="17"/>
  </w:num>
  <w:num w:numId="38" w16cid:durableId="1986398408">
    <w:abstractNumId w:val="35"/>
  </w:num>
  <w:num w:numId="39" w16cid:durableId="1309701302">
    <w:abstractNumId w:val="1"/>
  </w:num>
  <w:num w:numId="40" w16cid:durableId="156429182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2A9"/>
    <w:rsid w:val="0002349F"/>
    <w:rsid w:val="00025645"/>
    <w:rsid w:val="00025AED"/>
    <w:rsid w:val="00025E6D"/>
    <w:rsid w:val="00033E41"/>
    <w:rsid w:val="0004342B"/>
    <w:rsid w:val="00047DE9"/>
    <w:rsid w:val="0005288C"/>
    <w:rsid w:val="00054E7B"/>
    <w:rsid w:val="000555C7"/>
    <w:rsid w:val="0005659A"/>
    <w:rsid w:val="000602EC"/>
    <w:rsid w:val="0006123C"/>
    <w:rsid w:val="00061B5E"/>
    <w:rsid w:val="00062043"/>
    <w:rsid w:val="00066476"/>
    <w:rsid w:val="000747D7"/>
    <w:rsid w:val="0007628C"/>
    <w:rsid w:val="00077EBC"/>
    <w:rsid w:val="00087F2A"/>
    <w:rsid w:val="00090388"/>
    <w:rsid w:val="00091AE7"/>
    <w:rsid w:val="000A2C0E"/>
    <w:rsid w:val="000A2F6B"/>
    <w:rsid w:val="000B2715"/>
    <w:rsid w:val="000B500E"/>
    <w:rsid w:val="000E4E68"/>
    <w:rsid w:val="000F0C02"/>
    <w:rsid w:val="000F1F76"/>
    <w:rsid w:val="000F6203"/>
    <w:rsid w:val="001003AD"/>
    <w:rsid w:val="00100716"/>
    <w:rsid w:val="00107D80"/>
    <w:rsid w:val="00112A6F"/>
    <w:rsid w:val="0011469B"/>
    <w:rsid w:val="00114A16"/>
    <w:rsid w:val="001154FD"/>
    <w:rsid w:val="001171CF"/>
    <w:rsid w:val="001176B7"/>
    <w:rsid w:val="00121370"/>
    <w:rsid w:val="00122843"/>
    <w:rsid w:val="0012595B"/>
    <w:rsid w:val="00130B3A"/>
    <w:rsid w:val="00131AA0"/>
    <w:rsid w:val="001440B8"/>
    <w:rsid w:val="001444D5"/>
    <w:rsid w:val="00155A7D"/>
    <w:rsid w:val="001600C2"/>
    <w:rsid w:val="001647D3"/>
    <w:rsid w:val="00165845"/>
    <w:rsid w:val="00166D9C"/>
    <w:rsid w:val="00172B10"/>
    <w:rsid w:val="0017499C"/>
    <w:rsid w:val="00177F28"/>
    <w:rsid w:val="00190B83"/>
    <w:rsid w:val="00191A8D"/>
    <w:rsid w:val="001A0179"/>
    <w:rsid w:val="001A6064"/>
    <w:rsid w:val="001B101B"/>
    <w:rsid w:val="001B1231"/>
    <w:rsid w:val="001B4C38"/>
    <w:rsid w:val="001C1993"/>
    <w:rsid w:val="001C22AF"/>
    <w:rsid w:val="001C6583"/>
    <w:rsid w:val="001C78B6"/>
    <w:rsid w:val="001D0AF7"/>
    <w:rsid w:val="001E0DAA"/>
    <w:rsid w:val="001E7B3E"/>
    <w:rsid w:val="001F327E"/>
    <w:rsid w:val="001F382D"/>
    <w:rsid w:val="001F6707"/>
    <w:rsid w:val="0020065B"/>
    <w:rsid w:val="00200FC6"/>
    <w:rsid w:val="00205E1D"/>
    <w:rsid w:val="002205E2"/>
    <w:rsid w:val="00226683"/>
    <w:rsid w:val="00231410"/>
    <w:rsid w:val="0023293A"/>
    <w:rsid w:val="002329C2"/>
    <w:rsid w:val="00235D37"/>
    <w:rsid w:val="00235D62"/>
    <w:rsid w:val="0024019A"/>
    <w:rsid w:val="00243F88"/>
    <w:rsid w:val="00247184"/>
    <w:rsid w:val="002511FA"/>
    <w:rsid w:val="0025338C"/>
    <w:rsid w:val="002621FC"/>
    <w:rsid w:val="0027185F"/>
    <w:rsid w:val="00276FD4"/>
    <w:rsid w:val="002802AC"/>
    <w:rsid w:val="00282A50"/>
    <w:rsid w:val="00282CDC"/>
    <w:rsid w:val="0029563C"/>
    <w:rsid w:val="002A410B"/>
    <w:rsid w:val="002B30D9"/>
    <w:rsid w:val="002C190C"/>
    <w:rsid w:val="002C4E3B"/>
    <w:rsid w:val="002C6259"/>
    <w:rsid w:val="002C6576"/>
    <w:rsid w:val="002C7FB0"/>
    <w:rsid w:val="002D3BA1"/>
    <w:rsid w:val="002D5617"/>
    <w:rsid w:val="002D6D98"/>
    <w:rsid w:val="002E01B4"/>
    <w:rsid w:val="002E285A"/>
    <w:rsid w:val="002E577F"/>
    <w:rsid w:val="002E77B8"/>
    <w:rsid w:val="002F134E"/>
    <w:rsid w:val="002F3013"/>
    <w:rsid w:val="002F36E7"/>
    <w:rsid w:val="00304BF3"/>
    <w:rsid w:val="003066F5"/>
    <w:rsid w:val="0031354C"/>
    <w:rsid w:val="00315A38"/>
    <w:rsid w:val="00332CD5"/>
    <w:rsid w:val="0034116A"/>
    <w:rsid w:val="00347F0B"/>
    <w:rsid w:val="00354CBF"/>
    <w:rsid w:val="00355C86"/>
    <w:rsid w:val="0037428A"/>
    <w:rsid w:val="00380D3E"/>
    <w:rsid w:val="0038160D"/>
    <w:rsid w:val="00384266"/>
    <w:rsid w:val="003928DF"/>
    <w:rsid w:val="00392C3C"/>
    <w:rsid w:val="0039425D"/>
    <w:rsid w:val="00394649"/>
    <w:rsid w:val="003A0A54"/>
    <w:rsid w:val="003A401E"/>
    <w:rsid w:val="003A4492"/>
    <w:rsid w:val="003C1438"/>
    <w:rsid w:val="003C4D64"/>
    <w:rsid w:val="003D21A6"/>
    <w:rsid w:val="003E0C1E"/>
    <w:rsid w:val="003E0C49"/>
    <w:rsid w:val="003E112E"/>
    <w:rsid w:val="003E2C0B"/>
    <w:rsid w:val="003E352F"/>
    <w:rsid w:val="003F39C0"/>
    <w:rsid w:val="003F3C6A"/>
    <w:rsid w:val="003F6F5D"/>
    <w:rsid w:val="00401C73"/>
    <w:rsid w:val="0040393C"/>
    <w:rsid w:val="00403CEA"/>
    <w:rsid w:val="00405C6D"/>
    <w:rsid w:val="00407767"/>
    <w:rsid w:val="004108C4"/>
    <w:rsid w:val="00426485"/>
    <w:rsid w:val="0044010D"/>
    <w:rsid w:val="00443772"/>
    <w:rsid w:val="00443D28"/>
    <w:rsid w:val="00451AC3"/>
    <w:rsid w:val="00451F65"/>
    <w:rsid w:val="00452622"/>
    <w:rsid w:val="004668D0"/>
    <w:rsid w:val="004744A2"/>
    <w:rsid w:val="0047710B"/>
    <w:rsid w:val="004832C9"/>
    <w:rsid w:val="00487F1A"/>
    <w:rsid w:val="00494831"/>
    <w:rsid w:val="00495AB1"/>
    <w:rsid w:val="00496F7B"/>
    <w:rsid w:val="004A2824"/>
    <w:rsid w:val="004A39A8"/>
    <w:rsid w:val="004A4E57"/>
    <w:rsid w:val="004A5C3A"/>
    <w:rsid w:val="004C429E"/>
    <w:rsid w:val="004C4318"/>
    <w:rsid w:val="004C4FDE"/>
    <w:rsid w:val="004C5280"/>
    <w:rsid w:val="004C7843"/>
    <w:rsid w:val="004D4D48"/>
    <w:rsid w:val="004D514E"/>
    <w:rsid w:val="004E5124"/>
    <w:rsid w:val="004E5C27"/>
    <w:rsid w:val="004F0A75"/>
    <w:rsid w:val="004F456B"/>
    <w:rsid w:val="004F6E51"/>
    <w:rsid w:val="0050359D"/>
    <w:rsid w:val="00504321"/>
    <w:rsid w:val="00505A8C"/>
    <w:rsid w:val="0050657F"/>
    <w:rsid w:val="0051044B"/>
    <w:rsid w:val="00512822"/>
    <w:rsid w:val="00520163"/>
    <w:rsid w:val="0052347A"/>
    <w:rsid w:val="0052352C"/>
    <w:rsid w:val="00523690"/>
    <w:rsid w:val="0052431F"/>
    <w:rsid w:val="0053290D"/>
    <w:rsid w:val="005364BE"/>
    <w:rsid w:val="00540B35"/>
    <w:rsid w:val="00550BD6"/>
    <w:rsid w:val="00554DB6"/>
    <w:rsid w:val="0057555E"/>
    <w:rsid w:val="00576569"/>
    <w:rsid w:val="00581D5E"/>
    <w:rsid w:val="00582642"/>
    <w:rsid w:val="00582A9C"/>
    <w:rsid w:val="00584FB6"/>
    <w:rsid w:val="00584FD3"/>
    <w:rsid w:val="0058756B"/>
    <w:rsid w:val="00587B76"/>
    <w:rsid w:val="005A5B34"/>
    <w:rsid w:val="005A632F"/>
    <w:rsid w:val="005B65FF"/>
    <w:rsid w:val="005C3CD1"/>
    <w:rsid w:val="005C4D87"/>
    <w:rsid w:val="005C51A6"/>
    <w:rsid w:val="005D5A2B"/>
    <w:rsid w:val="005E18E4"/>
    <w:rsid w:val="005E3D15"/>
    <w:rsid w:val="00604751"/>
    <w:rsid w:val="00605345"/>
    <w:rsid w:val="0061413F"/>
    <w:rsid w:val="00615AD5"/>
    <w:rsid w:val="00616121"/>
    <w:rsid w:val="0061625B"/>
    <w:rsid w:val="00623C03"/>
    <w:rsid w:val="006251DB"/>
    <w:rsid w:val="006275CF"/>
    <w:rsid w:val="00627E5D"/>
    <w:rsid w:val="00631E0F"/>
    <w:rsid w:val="006416EB"/>
    <w:rsid w:val="00652DD9"/>
    <w:rsid w:val="00654FA8"/>
    <w:rsid w:val="00660C2F"/>
    <w:rsid w:val="00664024"/>
    <w:rsid w:val="00667216"/>
    <w:rsid w:val="00681047"/>
    <w:rsid w:val="00681A80"/>
    <w:rsid w:val="006B0EE1"/>
    <w:rsid w:val="006B7275"/>
    <w:rsid w:val="006C03FC"/>
    <w:rsid w:val="006C7C9E"/>
    <w:rsid w:val="006D72E3"/>
    <w:rsid w:val="006D7DF0"/>
    <w:rsid w:val="006E0A1F"/>
    <w:rsid w:val="006F3BCF"/>
    <w:rsid w:val="006F4E5D"/>
    <w:rsid w:val="006F6B07"/>
    <w:rsid w:val="00704C5F"/>
    <w:rsid w:val="00705A5A"/>
    <w:rsid w:val="00706087"/>
    <w:rsid w:val="00706768"/>
    <w:rsid w:val="00713AEE"/>
    <w:rsid w:val="007177F0"/>
    <w:rsid w:val="00717EC0"/>
    <w:rsid w:val="00724D04"/>
    <w:rsid w:val="00730B02"/>
    <w:rsid w:val="00734477"/>
    <w:rsid w:val="00742799"/>
    <w:rsid w:val="00743ADD"/>
    <w:rsid w:val="0074652B"/>
    <w:rsid w:val="00750BCF"/>
    <w:rsid w:val="007637D1"/>
    <w:rsid w:val="00766BA2"/>
    <w:rsid w:val="00767498"/>
    <w:rsid w:val="0077456D"/>
    <w:rsid w:val="0077610F"/>
    <w:rsid w:val="00780AD5"/>
    <w:rsid w:val="00781CEF"/>
    <w:rsid w:val="00785769"/>
    <w:rsid w:val="00794F0E"/>
    <w:rsid w:val="00795469"/>
    <w:rsid w:val="00795892"/>
    <w:rsid w:val="00795BD0"/>
    <w:rsid w:val="007971A4"/>
    <w:rsid w:val="007A0568"/>
    <w:rsid w:val="007A65CC"/>
    <w:rsid w:val="007C36CD"/>
    <w:rsid w:val="007C3A28"/>
    <w:rsid w:val="007C5A00"/>
    <w:rsid w:val="007D624B"/>
    <w:rsid w:val="007E28AB"/>
    <w:rsid w:val="007E5CBE"/>
    <w:rsid w:val="007E7C35"/>
    <w:rsid w:val="007F3AE8"/>
    <w:rsid w:val="007F786E"/>
    <w:rsid w:val="008002E6"/>
    <w:rsid w:val="008002F2"/>
    <w:rsid w:val="0080133F"/>
    <w:rsid w:val="008023E2"/>
    <w:rsid w:val="008046C8"/>
    <w:rsid w:val="00804F72"/>
    <w:rsid w:val="00806A0C"/>
    <w:rsid w:val="00812B64"/>
    <w:rsid w:val="0081623A"/>
    <w:rsid w:val="00823CDC"/>
    <w:rsid w:val="00834BE7"/>
    <w:rsid w:val="008413B9"/>
    <w:rsid w:val="00843F65"/>
    <w:rsid w:val="00846981"/>
    <w:rsid w:val="008506FD"/>
    <w:rsid w:val="00857C47"/>
    <w:rsid w:val="00857DF4"/>
    <w:rsid w:val="00862B93"/>
    <w:rsid w:val="00872B2C"/>
    <w:rsid w:val="00875EAE"/>
    <w:rsid w:val="00876239"/>
    <w:rsid w:val="00880449"/>
    <w:rsid w:val="008808B6"/>
    <w:rsid w:val="00886696"/>
    <w:rsid w:val="00891D71"/>
    <w:rsid w:val="00894BDD"/>
    <w:rsid w:val="00897D0D"/>
    <w:rsid w:val="008A4EE0"/>
    <w:rsid w:val="008A795F"/>
    <w:rsid w:val="008B0ED1"/>
    <w:rsid w:val="008B5FDC"/>
    <w:rsid w:val="008C019F"/>
    <w:rsid w:val="008D1715"/>
    <w:rsid w:val="008D258E"/>
    <w:rsid w:val="008D2E48"/>
    <w:rsid w:val="008D3501"/>
    <w:rsid w:val="008E14E4"/>
    <w:rsid w:val="008E22CA"/>
    <w:rsid w:val="008E4ABF"/>
    <w:rsid w:val="008E5E85"/>
    <w:rsid w:val="008F1A11"/>
    <w:rsid w:val="008F7D0E"/>
    <w:rsid w:val="00901C24"/>
    <w:rsid w:val="00901FE4"/>
    <w:rsid w:val="00905F6C"/>
    <w:rsid w:val="00910A3F"/>
    <w:rsid w:val="00912FCB"/>
    <w:rsid w:val="009226C0"/>
    <w:rsid w:val="00924BBD"/>
    <w:rsid w:val="009322F0"/>
    <w:rsid w:val="00935F8D"/>
    <w:rsid w:val="00940A73"/>
    <w:rsid w:val="00940DC8"/>
    <w:rsid w:val="009425D2"/>
    <w:rsid w:val="0094401B"/>
    <w:rsid w:val="00950880"/>
    <w:rsid w:val="00951C91"/>
    <w:rsid w:val="00955175"/>
    <w:rsid w:val="0095534F"/>
    <w:rsid w:val="009616C5"/>
    <w:rsid w:val="00962CEF"/>
    <w:rsid w:val="00964C11"/>
    <w:rsid w:val="009713CE"/>
    <w:rsid w:val="00971913"/>
    <w:rsid w:val="00974054"/>
    <w:rsid w:val="00985BF5"/>
    <w:rsid w:val="009928DF"/>
    <w:rsid w:val="00993BBC"/>
    <w:rsid w:val="00994071"/>
    <w:rsid w:val="009950CD"/>
    <w:rsid w:val="009A3086"/>
    <w:rsid w:val="009B18DC"/>
    <w:rsid w:val="009B1C93"/>
    <w:rsid w:val="009B27D8"/>
    <w:rsid w:val="009B524A"/>
    <w:rsid w:val="009C11CE"/>
    <w:rsid w:val="009C4942"/>
    <w:rsid w:val="009C663A"/>
    <w:rsid w:val="009C6894"/>
    <w:rsid w:val="009D209B"/>
    <w:rsid w:val="009D2CC7"/>
    <w:rsid w:val="009D3DDB"/>
    <w:rsid w:val="009F0E97"/>
    <w:rsid w:val="009F384E"/>
    <w:rsid w:val="009F3A1B"/>
    <w:rsid w:val="009F742E"/>
    <w:rsid w:val="00A00E85"/>
    <w:rsid w:val="00A03B40"/>
    <w:rsid w:val="00A06A40"/>
    <w:rsid w:val="00A165AC"/>
    <w:rsid w:val="00A20B26"/>
    <w:rsid w:val="00A24FED"/>
    <w:rsid w:val="00A25338"/>
    <w:rsid w:val="00A33601"/>
    <w:rsid w:val="00A35E7A"/>
    <w:rsid w:val="00A36D01"/>
    <w:rsid w:val="00A36F65"/>
    <w:rsid w:val="00A41AC4"/>
    <w:rsid w:val="00A521AA"/>
    <w:rsid w:val="00A533F3"/>
    <w:rsid w:val="00A574AE"/>
    <w:rsid w:val="00A576CE"/>
    <w:rsid w:val="00A57D72"/>
    <w:rsid w:val="00A57FEF"/>
    <w:rsid w:val="00A63000"/>
    <w:rsid w:val="00A77A7F"/>
    <w:rsid w:val="00A80B5C"/>
    <w:rsid w:val="00A83F53"/>
    <w:rsid w:val="00A87660"/>
    <w:rsid w:val="00A87898"/>
    <w:rsid w:val="00A922A9"/>
    <w:rsid w:val="00A95228"/>
    <w:rsid w:val="00AA0520"/>
    <w:rsid w:val="00AA47D0"/>
    <w:rsid w:val="00AA53F3"/>
    <w:rsid w:val="00AB0856"/>
    <w:rsid w:val="00AB1BE6"/>
    <w:rsid w:val="00AB3973"/>
    <w:rsid w:val="00AC2892"/>
    <w:rsid w:val="00AC2EF7"/>
    <w:rsid w:val="00AC3AB0"/>
    <w:rsid w:val="00AC44D1"/>
    <w:rsid w:val="00AD0EA0"/>
    <w:rsid w:val="00AD3D42"/>
    <w:rsid w:val="00AD619D"/>
    <w:rsid w:val="00AD7EE0"/>
    <w:rsid w:val="00AE4839"/>
    <w:rsid w:val="00AF0B43"/>
    <w:rsid w:val="00AF6D78"/>
    <w:rsid w:val="00B1218B"/>
    <w:rsid w:val="00B1272C"/>
    <w:rsid w:val="00B1318F"/>
    <w:rsid w:val="00B135BC"/>
    <w:rsid w:val="00B1507E"/>
    <w:rsid w:val="00B15B7E"/>
    <w:rsid w:val="00B21619"/>
    <w:rsid w:val="00B230EE"/>
    <w:rsid w:val="00B309EF"/>
    <w:rsid w:val="00B35642"/>
    <w:rsid w:val="00B5441B"/>
    <w:rsid w:val="00B5441C"/>
    <w:rsid w:val="00B60F89"/>
    <w:rsid w:val="00B61306"/>
    <w:rsid w:val="00B63F47"/>
    <w:rsid w:val="00B64E4D"/>
    <w:rsid w:val="00B74696"/>
    <w:rsid w:val="00B75520"/>
    <w:rsid w:val="00B93AE6"/>
    <w:rsid w:val="00B94DEE"/>
    <w:rsid w:val="00BA262D"/>
    <w:rsid w:val="00BA2E03"/>
    <w:rsid w:val="00BA48B7"/>
    <w:rsid w:val="00BA799D"/>
    <w:rsid w:val="00BB3AC9"/>
    <w:rsid w:val="00BC61EA"/>
    <w:rsid w:val="00BD51F0"/>
    <w:rsid w:val="00BE25EC"/>
    <w:rsid w:val="00BF1DC8"/>
    <w:rsid w:val="00C17DB3"/>
    <w:rsid w:val="00C21297"/>
    <w:rsid w:val="00C319E7"/>
    <w:rsid w:val="00C32157"/>
    <w:rsid w:val="00C62367"/>
    <w:rsid w:val="00C6272E"/>
    <w:rsid w:val="00C74C0F"/>
    <w:rsid w:val="00C76D8C"/>
    <w:rsid w:val="00C90CD1"/>
    <w:rsid w:val="00C931AE"/>
    <w:rsid w:val="00C93473"/>
    <w:rsid w:val="00CA13BA"/>
    <w:rsid w:val="00CA6301"/>
    <w:rsid w:val="00CA74F3"/>
    <w:rsid w:val="00CB0E43"/>
    <w:rsid w:val="00CB2D6F"/>
    <w:rsid w:val="00CB7ECE"/>
    <w:rsid w:val="00CC560B"/>
    <w:rsid w:val="00CD017C"/>
    <w:rsid w:val="00CD63BE"/>
    <w:rsid w:val="00CE0E95"/>
    <w:rsid w:val="00CF0EFD"/>
    <w:rsid w:val="00CF22E8"/>
    <w:rsid w:val="00CF57EF"/>
    <w:rsid w:val="00CF686F"/>
    <w:rsid w:val="00D031AE"/>
    <w:rsid w:val="00D05313"/>
    <w:rsid w:val="00D07F82"/>
    <w:rsid w:val="00D16492"/>
    <w:rsid w:val="00D16D87"/>
    <w:rsid w:val="00D202B0"/>
    <w:rsid w:val="00D235A8"/>
    <w:rsid w:val="00D244D1"/>
    <w:rsid w:val="00D265D0"/>
    <w:rsid w:val="00D31408"/>
    <w:rsid w:val="00D337B3"/>
    <w:rsid w:val="00D47E90"/>
    <w:rsid w:val="00D5261A"/>
    <w:rsid w:val="00D63D9D"/>
    <w:rsid w:val="00D64C1A"/>
    <w:rsid w:val="00D65837"/>
    <w:rsid w:val="00D77E8D"/>
    <w:rsid w:val="00D94F09"/>
    <w:rsid w:val="00D97074"/>
    <w:rsid w:val="00D97FED"/>
    <w:rsid w:val="00DA7CE3"/>
    <w:rsid w:val="00DB24C8"/>
    <w:rsid w:val="00DC2F7E"/>
    <w:rsid w:val="00DD09F6"/>
    <w:rsid w:val="00DD5390"/>
    <w:rsid w:val="00DE354B"/>
    <w:rsid w:val="00E03E72"/>
    <w:rsid w:val="00E11825"/>
    <w:rsid w:val="00E133CC"/>
    <w:rsid w:val="00E2338A"/>
    <w:rsid w:val="00E23852"/>
    <w:rsid w:val="00E32090"/>
    <w:rsid w:val="00E36294"/>
    <w:rsid w:val="00E368E4"/>
    <w:rsid w:val="00E50796"/>
    <w:rsid w:val="00E6160B"/>
    <w:rsid w:val="00E63C24"/>
    <w:rsid w:val="00E731F7"/>
    <w:rsid w:val="00E75E43"/>
    <w:rsid w:val="00E80470"/>
    <w:rsid w:val="00E911C8"/>
    <w:rsid w:val="00EA0643"/>
    <w:rsid w:val="00EA21D2"/>
    <w:rsid w:val="00EA4699"/>
    <w:rsid w:val="00EA7BEB"/>
    <w:rsid w:val="00EB6392"/>
    <w:rsid w:val="00EC144A"/>
    <w:rsid w:val="00ED1523"/>
    <w:rsid w:val="00ED2271"/>
    <w:rsid w:val="00ED398C"/>
    <w:rsid w:val="00ED5B5C"/>
    <w:rsid w:val="00EE38E7"/>
    <w:rsid w:val="00EE39B8"/>
    <w:rsid w:val="00EE4C50"/>
    <w:rsid w:val="00EE4D4B"/>
    <w:rsid w:val="00EF11F9"/>
    <w:rsid w:val="00F036DC"/>
    <w:rsid w:val="00F043F4"/>
    <w:rsid w:val="00F062D3"/>
    <w:rsid w:val="00F2177C"/>
    <w:rsid w:val="00F31F52"/>
    <w:rsid w:val="00F37195"/>
    <w:rsid w:val="00F41E94"/>
    <w:rsid w:val="00F43997"/>
    <w:rsid w:val="00F52432"/>
    <w:rsid w:val="00F53D30"/>
    <w:rsid w:val="00F5779E"/>
    <w:rsid w:val="00F600F4"/>
    <w:rsid w:val="00F60780"/>
    <w:rsid w:val="00F6419B"/>
    <w:rsid w:val="00F67C1E"/>
    <w:rsid w:val="00F8330F"/>
    <w:rsid w:val="00F85145"/>
    <w:rsid w:val="00F876C3"/>
    <w:rsid w:val="00F92206"/>
    <w:rsid w:val="00F927C3"/>
    <w:rsid w:val="00FC0353"/>
    <w:rsid w:val="00FD5249"/>
    <w:rsid w:val="00FD6E45"/>
    <w:rsid w:val="00FF5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5DB9E"/>
  <w15:chartTrackingRefBased/>
  <w15:docId w15:val="{07DA73F0-CD2E-40DF-93B8-E92886A5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A5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B0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E43"/>
  </w:style>
  <w:style w:type="paragraph" w:styleId="Footer">
    <w:name w:val="footer"/>
    <w:basedOn w:val="Normal"/>
    <w:link w:val="FooterChar"/>
    <w:uiPriority w:val="99"/>
    <w:unhideWhenUsed/>
    <w:rsid w:val="00CB0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E43"/>
  </w:style>
  <w:style w:type="paragraph" w:styleId="BalloonText">
    <w:name w:val="Balloon Text"/>
    <w:basedOn w:val="Normal"/>
    <w:link w:val="BalloonTextChar"/>
    <w:uiPriority w:val="99"/>
    <w:semiHidden/>
    <w:unhideWhenUsed/>
    <w:rsid w:val="00CB0E4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0E43"/>
    <w:rPr>
      <w:rFonts w:ascii="Tahoma" w:hAnsi="Tahoma" w:cs="Tahoma"/>
      <w:sz w:val="16"/>
      <w:szCs w:val="16"/>
    </w:rPr>
  </w:style>
  <w:style w:type="character" w:styleId="Hyperlink">
    <w:name w:val="Hyperlink"/>
    <w:uiPriority w:val="99"/>
    <w:unhideWhenUsed/>
    <w:rsid w:val="002F3013"/>
    <w:rPr>
      <w:color w:val="0000FF"/>
      <w:u w:val="single"/>
    </w:rPr>
  </w:style>
  <w:style w:type="paragraph" w:styleId="ListParagraph">
    <w:name w:val="List Paragraph"/>
    <w:basedOn w:val="Normal"/>
    <w:uiPriority w:val="34"/>
    <w:qFormat/>
    <w:rsid w:val="003C4D64"/>
    <w:pPr>
      <w:ind w:left="720"/>
      <w:contextualSpacing/>
    </w:pPr>
  </w:style>
  <w:style w:type="character" w:styleId="CommentReference">
    <w:name w:val="annotation reference"/>
    <w:uiPriority w:val="99"/>
    <w:semiHidden/>
    <w:unhideWhenUsed/>
    <w:rsid w:val="00C90CD1"/>
    <w:rPr>
      <w:sz w:val="16"/>
      <w:szCs w:val="16"/>
    </w:rPr>
  </w:style>
  <w:style w:type="paragraph" w:styleId="CommentText">
    <w:name w:val="annotation text"/>
    <w:basedOn w:val="Normal"/>
    <w:link w:val="CommentTextChar"/>
    <w:uiPriority w:val="99"/>
    <w:semiHidden/>
    <w:unhideWhenUsed/>
    <w:rsid w:val="00C90CD1"/>
    <w:rPr>
      <w:sz w:val="20"/>
      <w:szCs w:val="20"/>
    </w:rPr>
  </w:style>
  <w:style w:type="character" w:customStyle="1" w:styleId="CommentTextChar">
    <w:name w:val="Comment Text Char"/>
    <w:basedOn w:val="DefaultParagraphFont"/>
    <w:link w:val="CommentText"/>
    <w:uiPriority w:val="99"/>
    <w:semiHidden/>
    <w:rsid w:val="00C90CD1"/>
  </w:style>
  <w:style w:type="paragraph" w:styleId="CommentSubject">
    <w:name w:val="annotation subject"/>
    <w:basedOn w:val="CommentText"/>
    <w:next w:val="CommentText"/>
    <w:link w:val="CommentSubjectChar"/>
    <w:uiPriority w:val="99"/>
    <w:semiHidden/>
    <w:unhideWhenUsed/>
    <w:rsid w:val="00C90CD1"/>
    <w:rPr>
      <w:b/>
      <w:bCs/>
    </w:rPr>
  </w:style>
  <w:style w:type="character" w:customStyle="1" w:styleId="CommentSubjectChar">
    <w:name w:val="Comment Subject Char"/>
    <w:link w:val="CommentSubject"/>
    <w:uiPriority w:val="99"/>
    <w:semiHidden/>
    <w:rsid w:val="00C90CD1"/>
    <w:rPr>
      <w:b/>
      <w:bCs/>
    </w:rPr>
  </w:style>
  <w:style w:type="paragraph" w:styleId="NormalWeb">
    <w:name w:val="Normal (Web)"/>
    <w:basedOn w:val="Normal"/>
    <w:uiPriority w:val="99"/>
    <w:semiHidden/>
    <w:unhideWhenUsed/>
    <w:rsid w:val="001B1231"/>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1B12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35053">
      <w:bodyDiv w:val="1"/>
      <w:marLeft w:val="0"/>
      <w:marRight w:val="0"/>
      <w:marTop w:val="0"/>
      <w:marBottom w:val="0"/>
      <w:divBdr>
        <w:top w:val="none" w:sz="0" w:space="0" w:color="auto"/>
        <w:left w:val="none" w:sz="0" w:space="0" w:color="auto"/>
        <w:bottom w:val="none" w:sz="0" w:space="0" w:color="auto"/>
        <w:right w:val="none" w:sz="0" w:space="0" w:color="auto"/>
      </w:divBdr>
    </w:div>
    <w:div w:id="571282238">
      <w:bodyDiv w:val="1"/>
      <w:marLeft w:val="0"/>
      <w:marRight w:val="0"/>
      <w:marTop w:val="0"/>
      <w:marBottom w:val="0"/>
      <w:divBdr>
        <w:top w:val="none" w:sz="0" w:space="0" w:color="auto"/>
        <w:left w:val="none" w:sz="0" w:space="0" w:color="auto"/>
        <w:bottom w:val="none" w:sz="0" w:space="0" w:color="auto"/>
        <w:right w:val="none" w:sz="0" w:space="0" w:color="auto"/>
      </w:divBdr>
    </w:div>
    <w:div w:id="179112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POLICY</vt:lpstr>
    </vt:vector>
  </TitlesOfParts>
  <Company>MSCC</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pvernon</dc:creator>
  <cp:keywords/>
  <cp:lastModifiedBy>Sondra Howell</cp:lastModifiedBy>
  <cp:revision>3</cp:revision>
  <cp:lastPrinted>2016-05-16T16:19:00Z</cp:lastPrinted>
  <dcterms:created xsi:type="dcterms:W3CDTF">2025-02-18T11:34:00Z</dcterms:created>
  <dcterms:modified xsi:type="dcterms:W3CDTF">2025-02-18T11:34:00Z</dcterms:modified>
</cp:coreProperties>
</file>