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613E3" w14:textId="77777777" w:rsidR="00D8640F" w:rsidRDefault="00D8640F" w:rsidP="00D8640F">
      <w:pPr>
        <w:pStyle w:val="NormalWeb"/>
      </w:pPr>
      <w:r>
        <w:rPr>
          <w:rStyle w:val="Strong"/>
        </w:rPr>
        <w:t>1. Purpose</w:t>
      </w:r>
      <w:r>
        <w:t xml:space="preserve"> To establish a standardized process for managing paid leave of absence (LOA) for employees, ensuring compliance with organizational policies, Workforce Innovation and Opportunity Act (WIOA) regulations, and applicable federal and state laws.</w:t>
      </w:r>
    </w:p>
    <w:p w14:paraId="07E5DA23" w14:textId="77777777" w:rsidR="00D8640F" w:rsidRDefault="00D8640F" w:rsidP="00D8640F">
      <w:pPr>
        <w:pStyle w:val="NormalWeb"/>
      </w:pPr>
      <w:r>
        <w:rPr>
          <w:rStyle w:val="Strong"/>
        </w:rPr>
        <w:t>2. Scope</w:t>
      </w:r>
      <w:r>
        <w:t xml:space="preserve"> This SOP applies to all employees whose positions are funded in whole or in part by WIOA grants, as well as any other employees eligible for paid leave under organizational policies.</w:t>
      </w:r>
    </w:p>
    <w:p w14:paraId="17EE2F22" w14:textId="77777777" w:rsidR="00D8640F" w:rsidRDefault="00D8640F" w:rsidP="00D8640F">
      <w:pPr>
        <w:pStyle w:val="NormalWeb"/>
      </w:pPr>
      <w:r>
        <w:rPr>
          <w:rStyle w:val="Strong"/>
        </w:rPr>
        <w:t>3. Authority and Guidance</w:t>
      </w:r>
      <w:r>
        <w:t xml:space="preserve"> This SOP aligns with the following regulations and guidance:</w:t>
      </w:r>
    </w:p>
    <w:p w14:paraId="2792EA98" w14:textId="77777777" w:rsidR="00D8640F" w:rsidRDefault="00D8640F" w:rsidP="00D8640F">
      <w:pPr>
        <w:pStyle w:val="NormalWeb"/>
        <w:numPr>
          <w:ilvl w:val="0"/>
          <w:numId w:val="33"/>
        </w:numPr>
      </w:pPr>
      <w:r>
        <w:t>Workforce Innovation and Opportunity Act (WIOA), Public Law 113-128.</w:t>
      </w:r>
    </w:p>
    <w:p w14:paraId="4A3E8862" w14:textId="77777777" w:rsidR="00D8640F" w:rsidRDefault="00D8640F" w:rsidP="00D8640F">
      <w:pPr>
        <w:pStyle w:val="NormalWeb"/>
        <w:numPr>
          <w:ilvl w:val="0"/>
          <w:numId w:val="33"/>
        </w:numPr>
      </w:pPr>
      <w:r>
        <w:t>2 CFR Part 200 (Uniform Administrative Requirements, Cost Principles, and Audit Requirements for Federal Awards).</w:t>
      </w:r>
    </w:p>
    <w:p w14:paraId="5C02F629" w14:textId="77777777" w:rsidR="00D8640F" w:rsidRDefault="00D8640F" w:rsidP="00D8640F">
      <w:pPr>
        <w:pStyle w:val="NormalWeb"/>
        <w:numPr>
          <w:ilvl w:val="0"/>
          <w:numId w:val="33"/>
        </w:numPr>
      </w:pPr>
      <w:r>
        <w:t>Family and Medical Leave Act (FMLA), where applicable.</w:t>
      </w:r>
    </w:p>
    <w:p w14:paraId="78AA6592" w14:textId="77777777" w:rsidR="00D8640F" w:rsidRDefault="00D8640F" w:rsidP="00D8640F">
      <w:pPr>
        <w:pStyle w:val="NormalWeb"/>
        <w:numPr>
          <w:ilvl w:val="0"/>
          <w:numId w:val="33"/>
        </w:numPr>
      </w:pPr>
      <w:r>
        <w:t>Fair Labor Standards Act (FLSA).</w:t>
      </w:r>
    </w:p>
    <w:p w14:paraId="3C079AB5" w14:textId="77777777" w:rsidR="00D8640F" w:rsidRDefault="00D8640F" w:rsidP="00D8640F">
      <w:pPr>
        <w:pStyle w:val="NormalWeb"/>
      </w:pPr>
      <w:r>
        <w:rPr>
          <w:rStyle w:val="Strong"/>
        </w:rPr>
        <w:t>4. Definitions</w:t>
      </w:r>
    </w:p>
    <w:p w14:paraId="0AC6F796" w14:textId="77777777" w:rsidR="00D8640F" w:rsidRDefault="00D8640F" w:rsidP="00D8640F">
      <w:pPr>
        <w:pStyle w:val="NormalWeb"/>
        <w:numPr>
          <w:ilvl w:val="0"/>
          <w:numId w:val="34"/>
        </w:numPr>
      </w:pPr>
      <w:r>
        <w:rPr>
          <w:rStyle w:val="Strong"/>
        </w:rPr>
        <w:t>Paid Leave of Absence (LOA):</w:t>
      </w:r>
      <w:r>
        <w:t xml:space="preserve"> Authorized leave during which an employee continues to receive compensation and benefits.</w:t>
      </w:r>
    </w:p>
    <w:p w14:paraId="0E14E334" w14:textId="77777777" w:rsidR="00D8640F" w:rsidRDefault="00D8640F" w:rsidP="00D8640F">
      <w:pPr>
        <w:pStyle w:val="NormalWeb"/>
        <w:numPr>
          <w:ilvl w:val="0"/>
          <w:numId w:val="34"/>
        </w:numPr>
      </w:pPr>
      <w:r>
        <w:rPr>
          <w:rStyle w:val="Strong"/>
        </w:rPr>
        <w:t>Allowable Costs:</w:t>
      </w:r>
      <w:r>
        <w:t xml:space="preserve"> Compensation for paid leave that is consistent with an entity’s written policies and is allocable to WIOA-funded programs as per 2 CFR § 200.431.</w:t>
      </w:r>
    </w:p>
    <w:p w14:paraId="525CEDB9" w14:textId="77777777" w:rsidR="00D8640F" w:rsidRDefault="00D8640F" w:rsidP="00D8640F">
      <w:pPr>
        <w:pStyle w:val="NormalWeb"/>
      </w:pPr>
      <w:r>
        <w:rPr>
          <w:rStyle w:val="Strong"/>
        </w:rPr>
        <w:t>5. Responsibilities</w:t>
      </w:r>
    </w:p>
    <w:p w14:paraId="5218B603" w14:textId="77777777" w:rsidR="00D8640F" w:rsidRDefault="00D8640F" w:rsidP="00D8640F">
      <w:pPr>
        <w:pStyle w:val="NormalWeb"/>
        <w:numPr>
          <w:ilvl w:val="0"/>
          <w:numId w:val="35"/>
        </w:numPr>
      </w:pPr>
      <w:r>
        <w:rPr>
          <w:rStyle w:val="Strong"/>
        </w:rPr>
        <w:t>Human Resources (HR) Department:</w:t>
      </w:r>
      <w:r>
        <w:t xml:space="preserve"> Manages leave requests, maintains records, and ensures compliance with policies.</w:t>
      </w:r>
    </w:p>
    <w:p w14:paraId="190B68D5" w14:textId="77777777" w:rsidR="00D8640F" w:rsidRDefault="00D8640F" w:rsidP="00D8640F">
      <w:pPr>
        <w:pStyle w:val="NormalWeb"/>
        <w:numPr>
          <w:ilvl w:val="0"/>
          <w:numId w:val="35"/>
        </w:numPr>
      </w:pPr>
      <w:r>
        <w:rPr>
          <w:rStyle w:val="Strong"/>
        </w:rPr>
        <w:t>Supervisors/Managers:</w:t>
      </w:r>
      <w:r>
        <w:t xml:space="preserve"> Approve or deny leave requests based on operational needs and policy requirements.</w:t>
      </w:r>
    </w:p>
    <w:p w14:paraId="65C181C0" w14:textId="77777777" w:rsidR="00D8640F" w:rsidRDefault="00D8640F" w:rsidP="00D8640F">
      <w:pPr>
        <w:pStyle w:val="NormalWeb"/>
        <w:numPr>
          <w:ilvl w:val="0"/>
          <w:numId w:val="35"/>
        </w:numPr>
      </w:pPr>
      <w:r>
        <w:rPr>
          <w:rStyle w:val="Strong"/>
        </w:rPr>
        <w:t>Finance Department:</w:t>
      </w:r>
      <w:r>
        <w:t xml:space="preserve"> Ensures that paid leave costs are properly allocated and documented in compliance with WIOA regulations.</w:t>
      </w:r>
    </w:p>
    <w:p w14:paraId="4B9BA2CD" w14:textId="77777777" w:rsidR="00D8640F" w:rsidRDefault="00D8640F" w:rsidP="00D8640F">
      <w:pPr>
        <w:pStyle w:val="NormalWeb"/>
      </w:pPr>
      <w:r>
        <w:rPr>
          <w:rStyle w:val="Strong"/>
        </w:rPr>
        <w:t>6. Procedure</w:t>
      </w:r>
    </w:p>
    <w:p w14:paraId="2CC17C93" w14:textId="77777777" w:rsidR="00D8640F" w:rsidRDefault="00D8640F" w:rsidP="00D8640F">
      <w:pPr>
        <w:pStyle w:val="NormalWeb"/>
      </w:pPr>
      <w:r>
        <w:rPr>
          <w:rStyle w:val="Strong"/>
        </w:rPr>
        <w:t>6.1 Types of Paid Leave</w:t>
      </w:r>
      <w:r>
        <w:t xml:space="preserve"> Employees may be eligible for the following types of paid leave, subject to organizational policies:</w:t>
      </w:r>
    </w:p>
    <w:p w14:paraId="15D4CEAC" w14:textId="77777777" w:rsidR="00D8640F" w:rsidRDefault="00D8640F" w:rsidP="00D8640F">
      <w:pPr>
        <w:pStyle w:val="NormalWeb"/>
        <w:numPr>
          <w:ilvl w:val="0"/>
          <w:numId w:val="36"/>
        </w:numPr>
      </w:pPr>
      <w:r>
        <w:t>Vacation leave.</w:t>
      </w:r>
    </w:p>
    <w:p w14:paraId="200969F6" w14:textId="77777777" w:rsidR="00D8640F" w:rsidRDefault="00D8640F" w:rsidP="00D8640F">
      <w:pPr>
        <w:pStyle w:val="NormalWeb"/>
        <w:numPr>
          <w:ilvl w:val="0"/>
          <w:numId w:val="36"/>
        </w:numPr>
      </w:pPr>
      <w:r>
        <w:t>Sick leave.</w:t>
      </w:r>
    </w:p>
    <w:p w14:paraId="2432D52A" w14:textId="77777777" w:rsidR="00D8640F" w:rsidRDefault="00D8640F" w:rsidP="00D8640F">
      <w:pPr>
        <w:pStyle w:val="NormalWeb"/>
        <w:numPr>
          <w:ilvl w:val="0"/>
          <w:numId w:val="36"/>
        </w:numPr>
      </w:pPr>
      <w:r>
        <w:lastRenderedPageBreak/>
        <w:t>Personal leave.</w:t>
      </w:r>
    </w:p>
    <w:p w14:paraId="4D287B15" w14:textId="77777777" w:rsidR="00D8640F" w:rsidRDefault="00D8640F" w:rsidP="00D8640F">
      <w:pPr>
        <w:pStyle w:val="NormalWeb"/>
        <w:numPr>
          <w:ilvl w:val="0"/>
          <w:numId w:val="36"/>
        </w:numPr>
      </w:pPr>
      <w:r>
        <w:t>Bereavement leave.</w:t>
      </w:r>
    </w:p>
    <w:p w14:paraId="2506B1C4" w14:textId="77777777" w:rsidR="00D8640F" w:rsidRDefault="00D8640F" w:rsidP="00D8640F">
      <w:pPr>
        <w:pStyle w:val="NormalWeb"/>
        <w:numPr>
          <w:ilvl w:val="0"/>
          <w:numId w:val="36"/>
        </w:numPr>
      </w:pPr>
      <w:r>
        <w:t>Jury duty or court appearances.</w:t>
      </w:r>
    </w:p>
    <w:p w14:paraId="0CDE7D94" w14:textId="77777777" w:rsidR="00D8640F" w:rsidRDefault="00D8640F" w:rsidP="00D8640F">
      <w:pPr>
        <w:pStyle w:val="NormalWeb"/>
        <w:numPr>
          <w:ilvl w:val="0"/>
          <w:numId w:val="36"/>
        </w:numPr>
      </w:pPr>
      <w:r>
        <w:t>Paid parental leave.</w:t>
      </w:r>
    </w:p>
    <w:p w14:paraId="4E845448" w14:textId="77777777" w:rsidR="00D8640F" w:rsidRDefault="00D8640F" w:rsidP="00D8640F">
      <w:pPr>
        <w:pStyle w:val="NormalWeb"/>
        <w:numPr>
          <w:ilvl w:val="0"/>
          <w:numId w:val="36"/>
        </w:numPr>
      </w:pPr>
      <w:r>
        <w:t>Paid leave while under disciplinary review.</w:t>
      </w:r>
    </w:p>
    <w:p w14:paraId="45A22CDE" w14:textId="77777777" w:rsidR="00D8640F" w:rsidRDefault="00D8640F" w:rsidP="00D8640F">
      <w:pPr>
        <w:pStyle w:val="NormalWeb"/>
      </w:pPr>
      <w:r>
        <w:rPr>
          <w:rStyle w:val="Strong"/>
        </w:rPr>
        <w:t>6.2 Eligibility</w:t>
      </w:r>
    </w:p>
    <w:p w14:paraId="79A00AE6" w14:textId="77777777" w:rsidR="00D8640F" w:rsidRDefault="00D8640F" w:rsidP="00D8640F">
      <w:pPr>
        <w:pStyle w:val="NormalWeb"/>
        <w:numPr>
          <w:ilvl w:val="0"/>
          <w:numId w:val="37"/>
        </w:numPr>
      </w:pPr>
      <w:r>
        <w:t>Eligibility for paid leave is determined based on the employee’s employment status, tenure, and organizational policies.</w:t>
      </w:r>
    </w:p>
    <w:p w14:paraId="0BCF19FC" w14:textId="77777777" w:rsidR="00D8640F" w:rsidRDefault="00D8640F" w:rsidP="00D8640F">
      <w:pPr>
        <w:pStyle w:val="NormalWeb"/>
        <w:numPr>
          <w:ilvl w:val="0"/>
          <w:numId w:val="37"/>
        </w:numPr>
      </w:pPr>
      <w:r>
        <w:t>Leave must be accrued in accordance with the organization’s policies and procedures.</w:t>
      </w:r>
    </w:p>
    <w:p w14:paraId="232498EA" w14:textId="77777777" w:rsidR="00D8640F" w:rsidRDefault="00D8640F" w:rsidP="00D8640F">
      <w:pPr>
        <w:pStyle w:val="NormalWeb"/>
        <w:numPr>
          <w:ilvl w:val="0"/>
          <w:numId w:val="37"/>
        </w:numPr>
      </w:pPr>
      <w:r>
        <w:t>Paid leave during disciplinary review is contingent upon the nature of the investigation and organizational discretion, ensuring compliance with applicable laws and policies.</w:t>
      </w:r>
    </w:p>
    <w:p w14:paraId="4E0AFD9B" w14:textId="77777777" w:rsidR="00D8640F" w:rsidRDefault="00D8640F" w:rsidP="00D8640F">
      <w:pPr>
        <w:pStyle w:val="NormalWeb"/>
      </w:pPr>
      <w:r>
        <w:rPr>
          <w:rStyle w:val="Strong"/>
        </w:rPr>
        <w:t>6.3 Requesting Paid Leave</w:t>
      </w:r>
    </w:p>
    <w:p w14:paraId="16B010C8" w14:textId="77777777" w:rsidR="00D8640F" w:rsidRDefault="00D8640F" w:rsidP="00D8640F">
      <w:pPr>
        <w:pStyle w:val="NormalWeb"/>
        <w:numPr>
          <w:ilvl w:val="0"/>
          <w:numId w:val="38"/>
        </w:numPr>
      </w:pPr>
      <w:r>
        <w:t>Employees must submit a written request for leave to their supervisor, specifying the type and duration of leave.</w:t>
      </w:r>
    </w:p>
    <w:p w14:paraId="7B808A97" w14:textId="6EE80955" w:rsidR="00D8640F" w:rsidRPr="000F38D0" w:rsidRDefault="00D8640F" w:rsidP="00D8640F">
      <w:pPr>
        <w:pStyle w:val="NormalWeb"/>
        <w:numPr>
          <w:ilvl w:val="0"/>
          <w:numId w:val="38"/>
        </w:numPr>
      </w:pPr>
      <w:r>
        <w:t xml:space="preserve">For planned leave (e.g., vacation), requests should be submitted </w:t>
      </w:r>
      <w:r w:rsidRPr="000F38D0">
        <w:t>at least</w:t>
      </w:r>
      <w:r w:rsidR="00113BE6" w:rsidRPr="000F38D0">
        <w:t xml:space="preserve"> two weeks</w:t>
      </w:r>
      <w:r w:rsidRPr="000F38D0">
        <w:t xml:space="preserve"> in advance</w:t>
      </w:r>
      <w:r w:rsidR="001C7B49" w:rsidRPr="000F38D0">
        <w:t xml:space="preserve"> or as soon as possible</w:t>
      </w:r>
      <w:r w:rsidRPr="000F38D0">
        <w:t>.</w:t>
      </w:r>
    </w:p>
    <w:p w14:paraId="0D51BD11" w14:textId="77777777" w:rsidR="00D8640F" w:rsidRPr="000F38D0" w:rsidRDefault="00D8640F" w:rsidP="00D8640F">
      <w:pPr>
        <w:pStyle w:val="NormalWeb"/>
        <w:numPr>
          <w:ilvl w:val="0"/>
          <w:numId w:val="38"/>
        </w:numPr>
      </w:pPr>
      <w:r w:rsidRPr="000F38D0">
        <w:t>For unplanned leave (e.g., sick leave), employees must notify their supervisor as soon as possible.</w:t>
      </w:r>
    </w:p>
    <w:p w14:paraId="13CEF28C" w14:textId="77777777" w:rsidR="00D8640F" w:rsidRPr="000F38D0" w:rsidRDefault="00D8640F" w:rsidP="00D8640F">
      <w:pPr>
        <w:pStyle w:val="NormalWeb"/>
        <w:numPr>
          <w:ilvl w:val="0"/>
          <w:numId w:val="38"/>
        </w:numPr>
      </w:pPr>
      <w:r w:rsidRPr="000F38D0">
        <w:t>Supporting documentation (e.g., medical certification) may be required, depending on the nature of the leave.</w:t>
      </w:r>
    </w:p>
    <w:p w14:paraId="053B8F46" w14:textId="77777777" w:rsidR="00D8640F" w:rsidRPr="000F38D0" w:rsidRDefault="00D8640F" w:rsidP="00D8640F">
      <w:pPr>
        <w:pStyle w:val="NormalWeb"/>
        <w:numPr>
          <w:ilvl w:val="0"/>
          <w:numId w:val="38"/>
        </w:numPr>
      </w:pPr>
      <w:r w:rsidRPr="000F38D0">
        <w:t>For paid leave during disciplinary review, the organization will notify the employee in writing, outlining the terms and duration of the leave.</w:t>
      </w:r>
    </w:p>
    <w:p w14:paraId="58F41C90" w14:textId="77777777" w:rsidR="00D8640F" w:rsidRPr="000F38D0" w:rsidRDefault="00D8640F" w:rsidP="00D8640F">
      <w:pPr>
        <w:pStyle w:val="NormalWeb"/>
      </w:pPr>
      <w:r w:rsidRPr="000F38D0">
        <w:rPr>
          <w:rStyle w:val="Strong"/>
        </w:rPr>
        <w:t>6.4 Approval Process</w:t>
      </w:r>
    </w:p>
    <w:p w14:paraId="27F899A1" w14:textId="77777777" w:rsidR="00D8640F" w:rsidRPr="000F38D0" w:rsidRDefault="00D8640F" w:rsidP="00D8640F">
      <w:pPr>
        <w:pStyle w:val="NormalWeb"/>
        <w:numPr>
          <w:ilvl w:val="0"/>
          <w:numId w:val="39"/>
        </w:numPr>
      </w:pPr>
      <w:r w:rsidRPr="000F38D0">
        <w:t>Supervisors/Managers must review leave requests for:</w:t>
      </w:r>
    </w:p>
    <w:p w14:paraId="072A7CC0" w14:textId="77777777" w:rsidR="00D8640F" w:rsidRPr="000F38D0" w:rsidRDefault="00D8640F" w:rsidP="00D8640F">
      <w:pPr>
        <w:pStyle w:val="NormalWeb"/>
        <w:numPr>
          <w:ilvl w:val="1"/>
          <w:numId w:val="39"/>
        </w:numPr>
      </w:pPr>
      <w:r w:rsidRPr="000F38D0">
        <w:t>Alignment with operational needs.</w:t>
      </w:r>
    </w:p>
    <w:p w14:paraId="04007B44" w14:textId="77777777" w:rsidR="00D8640F" w:rsidRPr="000F38D0" w:rsidRDefault="00D8640F" w:rsidP="00D8640F">
      <w:pPr>
        <w:pStyle w:val="NormalWeb"/>
        <w:numPr>
          <w:ilvl w:val="1"/>
          <w:numId w:val="39"/>
        </w:numPr>
      </w:pPr>
      <w:r w:rsidRPr="000F38D0">
        <w:t>Employee eligibility and available leave balance.</w:t>
      </w:r>
    </w:p>
    <w:p w14:paraId="218584F2" w14:textId="77777777" w:rsidR="00D8640F" w:rsidRPr="000F38D0" w:rsidRDefault="00D8640F" w:rsidP="00D8640F">
      <w:pPr>
        <w:pStyle w:val="NormalWeb"/>
        <w:numPr>
          <w:ilvl w:val="0"/>
          <w:numId w:val="39"/>
        </w:numPr>
      </w:pPr>
      <w:r w:rsidRPr="000F38D0">
        <w:t>Approved leave requests are forwarded to HR for final processing and recordkeeping.</w:t>
      </w:r>
    </w:p>
    <w:p w14:paraId="1A49F5F5" w14:textId="77777777" w:rsidR="00D8640F" w:rsidRPr="000F38D0" w:rsidRDefault="00D8640F" w:rsidP="00D8640F">
      <w:pPr>
        <w:pStyle w:val="NormalWeb"/>
        <w:numPr>
          <w:ilvl w:val="0"/>
          <w:numId w:val="39"/>
        </w:numPr>
      </w:pPr>
      <w:r w:rsidRPr="000F38D0">
        <w:t>For paid leave during disciplinary review, HR and management must coordinate to ensure adherence to organizational policies and legal requirements.</w:t>
      </w:r>
    </w:p>
    <w:p w14:paraId="226D7AC4" w14:textId="77777777" w:rsidR="00D8640F" w:rsidRPr="000F38D0" w:rsidRDefault="00D8640F" w:rsidP="00D8640F">
      <w:pPr>
        <w:pStyle w:val="NormalWeb"/>
      </w:pPr>
      <w:r w:rsidRPr="000F38D0">
        <w:rPr>
          <w:rStyle w:val="Strong"/>
        </w:rPr>
        <w:t>6.5 Compensation and Benefits</w:t>
      </w:r>
    </w:p>
    <w:p w14:paraId="5D0B84F9" w14:textId="77777777" w:rsidR="00D8640F" w:rsidRPr="000F38D0" w:rsidRDefault="00D8640F" w:rsidP="00D8640F">
      <w:pPr>
        <w:pStyle w:val="NormalWeb"/>
        <w:numPr>
          <w:ilvl w:val="0"/>
          <w:numId w:val="40"/>
        </w:numPr>
      </w:pPr>
      <w:r w:rsidRPr="000F38D0">
        <w:t>Paid leave compensation is based on the employee’s regular rate of pay.</w:t>
      </w:r>
    </w:p>
    <w:p w14:paraId="1DF92125" w14:textId="77777777" w:rsidR="00D8640F" w:rsidRPr="000F38D0" w:rsidRDefault="00D8640F" w:rsidP="00D8640F">
      <w:pPr>
        <w:pStyle w:val="NormalWeb"/>
        <w:numPr>
          <w:ilvl w:val="0"/>
          <w:numId w:val="40"/>
        </w:numPr>
      </w:pPr>
      <w:r w:rsidRPr="000F38D0">
        <w:lastRenderedPageBreak/>
        <w:t>Employees on paid leave continue to accrue benefits such as retirement contributions, if applicable, in accordance with organizational policies.</w:t>
      </w:r>
    </w:p>
    <w:p w14:paraId="7979565D" w14:textId="77777777" w:rsidR="00D8640F" w:rsidRPr="000F38D0" w:rsidRDefault="00D8640F" w:rsidP="00D8640F">
      <w:pPr>
        <w:pStyle w:val="NormalWeb"/>
      </w:pPr>
      <w:r w:rsidRPr="000F38D0">
        <w:rPr>
          <w:rStyle w:val="Strong"/>
        </w:rPr>
        <w:t>6.6 Compliance with WIOA Regulations</w:t>
      </w:r>
    </w:p>
    <w:p w14:paraId="3EF32A64" w14:textId="77777777" w:rsidR="00D8640F" w:rsidRPr="000F38D0" w:rsidRDefault="00D8640F" w:rsidP="00D8640F">
      <w:pPr>
        <w:pStyle w:val="NormalWeb"/>
        <w:numPr>
          <w:ilvl w:val="0"/>
          <w:numId w:val="41"/>
        </w:numPr>
      </w:pPr>
      <w:r w:rsidRPr="000F38D0">
        <w:t>Paid leave costs must be:</w:t>
      </w:r>
    </w:p>
    <w:p w14:paraId="11AE1ADE" w14:textId="77777777" w:rsidR="00D8640F" w:rsidRPr="000F38D0" w:rsidRDefault="00D8640F" w:rsidP="00D8640F">
      <w:pPr>
        <w:pStyle w:val="NormalWeb"/>
        <w:numPr>
          <w:ilvl w:val="1"/>
          <w:numId w:val="41"/>
        </w:numPr>
      </w:pPr>
      <w:r w:rsidRPr="000F38D0">
        <w:t>Consistent with organizational policies for all employees.</w:t>
      </w:r>
    </w:p>
    <w:p w14:paraId="5F4976A3" w14:textId="77777777" w:rsidR="00D8640F" w:rsidRPr="000F38D0" w:rsidRDefault="00D8640F" w:rsidP="00D8640F">
      <w:pPr>
        <w:pStyle w:val="NormalWeb"/>
        <w:numPr>
          <w:ilvl w:val="1"/>
          <w:numId w:val="41"/>
        </w:numPr>
      </w:pPr>
      <w:r w:rsidRPr="000F38D0">
        <w:t>Allocated to WIOA-funded programs proportionally, in line with 2 CFR § 200.431.</w:t>
      </w:r>
    </w:p>
    <w:p w14:paraId="205929B4" w14:textId="77777777" w:rsidR="00D8640F" w:rsidRPr="000F38D0" w:rsidRDefault="00D8640F" w:rsidP="00D8640F">
      <w:pPr>
        <w:pStyle w:val="NormalWeb"/>
        <w:numPr>
          <w:ilvl w:val="0"/>
          <w:numId w:val="41"/>
        </w:numPr>
      </w:pPr>
      <w:r w:rsidRPr="000F38D0">
        <w:t>Documentation supporting leave payments (e.g., timesheets, leave requests) must be retained for audit purposes.</w:t>
      </w:r>
    </w:p>
    <w:p w14:paraId="17A193BE" w14:textId="77777777" w:rsidR="00D8640F" w:rsidRPr="000F38D0" w:rsidRDefault="00D8640F" w:rsidP="00D8640F">
      <w:pPr>
        <w:pStyle w:val="NormalWeb"/>
      </w:pPr>
      <w:r w:rsidRPr="000F38D0">
        <w:rPr>
          <w:rStyle w:val="Strong"/>
        </w:rPr>
        <w:t>6.7 Return to Work</w:t>
      </w:r>
    </w:p>
    <w:p w14:paraId="2CADA017" w14:textId="2DEEBF45" w:rsidR="00D8640F" w:rsidRPr="000F38D0" w:rsidRDefault="00D8640F" w:rsidP="00D8640F">
      <w:pPr>
        <w:pStyle w:val="NormalWeb"/>
        <w:numPr>
          <w:ilvl w:val="0"/>
          <w:numId w:val="42"/>
        </w:numPr>
      </w:pPr>
      <w:r w:rsidRPr="000F38D0">
        <w:t xml:space="preserve">Employees must notify their supervisor and HR of their intent to return to work </w:t>
      </w:r>
      <w:r w:rsidR="00EB1E0A" w:rsidRPr="000F38D0">
        <w:t xml:space="preserve">as soon as possible </w:t>
      </w:r>
      <w:r w:rsidRPr="000F38D0">
        <w:t>prior to the end of the leave period.</w:t>
      </w:r>
    </w:p>
    <w:p w14:paraId="1BE35173" w14:textId="77777777" w:rsidR="00D8640F" w:rsidRPr="000F38D0" w:rsidRDefault="00D8640F" w:rsidP="00D8640F">
      <w:pPr>
        <w:pStyle w:val="NormalWeb"/>
        <w:numPr>
          <w:ilvl w:val="0"/>
          <w:numId w:val="42"/>
        </w:numPr>
      </w:pPr>
      <w:r w:rsidRPr="000F38D0">
        <w:t>Any extensions to the leave period must be requested and approved in writing.</w:t>
      </w:r>
    </w:p>
    <w:p w14:paraId="7AB85A01" w14:textId="77777777" w:rsidR="00D8640F" w:rsidRDefault="00D8640F" w:rsidP="00D8640F">
      <w:pPr>
        <w:pStyle w:val="NormalWeb"/>
        <w:numPr>
          <w:ilvl w:val="0"/>
          <w:numId w:val="42"/>
        </w:numPr>
      </w:pPr>
      <w:r w:rsidRPr="000F38D0">
        <w:t>For employees on paid leave during disciplinary review, HR will communicate the outcome of the review and the terms of the employee’s return to work</w:t>
      </w:r>
      <w:r>
        <w:t xml:space="preserve"> or any further action.</w:t>
      </w:r>
    </w:p>
    <w:p w14:paraId="0D61BF2B" w14:textId="77777777" w:rsidR="00D8640F" w:rsidRDefault="00D8640F" w:rsidP="00D8640F">
      <w:pPr>
        <w:pStyle w:val="NormalWeb"/>
      </w:pPr>
      <w:r>
        <w:rPr>
          <w:rStyle w:val="Strong"/>
        </w:rPr>
        <w:t>6.8 Recordkeeping</w:t>
      </w:r>
    </w:p>
    <w:p w14:paraId="79EF9030" w14:textId="77777777" w:rsidR="00D8640F" w:rsidRDefault="00D8640F" w:rsidP="00D8640F">
      <w:pPr>
        <w:pStyle w:val="NormalWeb"/>
        <w:numPr>
          <w:ilvl w:val="0"/>
          <w:numId w:val="43"/>
        </w:numPr>
      </w:pPr>
      <w:r>
        <w:t>HR maintains records of leave balances, requests, and approvals.</w:t>
      </w:r>
    </w:p>
    <w:p w14:paraId="767B6AC9" w14:textId="77777777" w:rsidR="00D8640F" w:rsidRDefault="00D8640F" w:rsidP="00D8640F">
      <w:pPr>
        <w:pStyle w:val="NormalWeb"/>
        <w:numPr>
          <w:ilvl w:val="0"/>
          <w:numId w:val="43"/>
        </w:numPr>
      </w:pPr>
      <w:r>
        <w:t>All records must be retained for a minimum of three years, or longer if required by federal or state regulations.</w:t>
      </w:r>
    </w:p>
    <w:p w14:paraId="77BC89D7" w14:textId="77777777" w:rsidR="00D8640F" w:rsidRDefault="00D8640F" w:rsidP="00D8640F">
      <w:pPr>
        <w:pStyle w:val="NormalWeb"/>
      </w:pPr>
      <w:r>
        <w:rPr>
          <w:rStyle w:val="Strong"/>
        </w:rPr>
        <w:t>7. Monitoring and Compliance</w:t>
      </w:r>
    </w:p>
    <w:p w14:paraId="170101CE" w14:textId="77777777" w:rsidR="00D8640F" w:rsidRDefault="00D8640F" w:rsidP="00D8640F">
      <w:pPr>
        <w:pStyle w:val="NormalWeb"/>
        <w:numPr>
          <w:ilvl w:val="0"/>
          <w:numId w:val="44"/>
        </w:numPr>
      </w:pPr>
      <w:r>
        <w:t>Periodic reviews of leave practices will be conducted to ensure compliance with this SOP, WIOA regulations, and applicable laws.</w:t>
      </w:r>
    </w:p>
    <w:p w14:paraId="1CAF09B0" w14:textId="77777777" w:rsidR="00D8640F" w:rsidRDefault="00D8640F" w:rsidP="00D8640F">
      <w:pPr>
        <w:pStyle w:val="NormalWeb"/>
        <w:numPr>
          <w:ilvl w:val="0"/>
          <w:numId w:val="44"/>
        </w:numPr>
      </w:pPr>
      <w:r>
        <w:t>Any findings of non-compliance will be addressed promptly.</w:t>
      </w:r>
    </w:p>
    <w:p w14:paraId="1256FF67" w14:textId="77777777" w:rsidR="006B7275" w:rsidRPr="00A87898" w:rsidRDefault="006B7275" w:rsidP="00A87898"/>
    <w:sectPr w:rsidR="006B7275" w:rsidRPr="00A87898" w:rsidSect="002C190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988B2" w14:textId="77777777" w:rsidR="00451AC3" w:rsidRDefault="00451AC3" w:rsidP="00CB0E43">
      <w:pPr>
        <w:spacing w:after="0" w:line="240" w:lineRule="auto"/>
      </w:pPr>
      <w:r>
        <w:separator/>
      </w:r>
    </w:p>
  </w:endnote>
  <w:endnote w:type="continuationSeparator" w:id="0">
    <w:p w14:paraId="108F9866" w14:textId="77777777" w:rsidR="00451AC3" w:rsidRDefault="00451AC3" w:rsidP="00CB0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D1A14" w14:textId="77777777" w:rsidR="00006F07" w:rsidRDefault="00006F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7DE75" w14:textId="77777777" w:rsidR="000555C7" w:rsidRDefault="000555C7" w:rsidP="0005288C">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9F742E">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9F742E">
      <w:rPr>
        <w:b/>
        <w:noProof/>
      </w:rPr>
      <w:t>2</w:t>
    </w:r>
    <w:r>
      <w:rPr>
        <w:b/>
        <w:sz w:val="24"/>
        <w:szCs w:val="24"/>
      </w:rPr>
      <w:fldChar w:fldCharType="end"/>
    </w:r>
  </w:p>
  <w:p w14:paraId="24EDDDC9" w14:textId="77777777" w:rsidR="000555C7" w:rsidRPr="0005288C" w:rsidRDefault="000555C7" w:rsidP="000528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52B7B" w14:textId="77777777" w:rsidR="00006F07" w:rsidRDefault="00006F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4B0B8" w14:textId="77777777" w:rsidR="00451AC3" w:rsidRDefault="00451AC3" w:rsidP="00CB0E43">
      <w:pPr>
        <w:spacing w:after="0" w:line="240" w:lineRule="auto"/>
      </w:pPr>
      <w:r>
        <w:separator/>
      </w:r>
    </w:p>
  </w:footnote>
  <w:footnote w:type="continuationSeparator" w:id="0">
    <w:p w14:paraId="3B2CF3A0" w14:textId="77777777" w:rsidR="00451AC3" w:rsidRDefault="00451AC3" w:rsidP="00CB0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278A0" w14:textId="77777777" w:rsidR="00006F07" w:rsidRDefault="00006F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33"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33"/>
      <w:gridCol w:w="3552"/>
      <w:gridCol w:w="1667"/>
      <w:gridCol w:w="1281"/>
    </w:tblGrid>
    <w:tr w:rsidR="000555C7" w:rsidRPr="00F6419B" w14:paraId="4FC125E1" w14:textId="77777777">
      <w:trPr>
        <w:trHeight w:val="510"/>
      </w:trPr>
      <w:tc>
        <w:tcPr>
          <w:tcW w:w="4033" w:type="dxa"/>
          <w:vMerge w:val="restart"/>
          <w:tcBorders>
            <w:top w:val="single" w:sz="12" w:space="0" w:color="auto"/>
            <w:left w:val="single" w:sz="12" w:space="0" w:color="auto"/>
            <w:right w:val="single" w:sz="12" w:space="0" w:color="auto"/>
          </w:tcBorders>
          <w:vAlign w:val="center"/>
        </w:tcPr>
        <w:p w14:paraId="197ECB86" w14:textId="5E6C7884" w:rsidR="000555C7" w:rsidRDefault="000555C7" w:rsidP="0023293A">
          <w:pPr>
            <w:spacing w:after="0" w:line="240" w:lineRule="auto"/>
            <w:ind w:left="-180"/>
            <w:jc w:val="center"/>
          </w:pPr>
        </w:p>
        <w:p w14:paraId="682391B2" w14:textId="1B91BC71" w:rsidR="000555C7" w:rsidRPr="00950880" w:rsidRDefault="006251DB" w:rsidP="00380D3E">
          <w:pPr>
            <w:spacing w:line="240" w:lineRule="auto"/>
            <w:jc w:val="center"/>
          </w:pPr>
          <w:r>
            <w:rPr>
              <w:noProof/>
            </w:rPr>
            <w:drawing>
              <wp:inline distT="0" distB="0" distL="0" distR="0" wp14:anchorId="40F6EC6E" wp14:editId="5BD90656">
                <wp:extent cx="1276350" cy="1276350"/>
                <wp:effectExtent l="0" t="0" r="0" b="0"/>
                <wp:docPr id="1280211694" name="Picture 5" descr="A red white and blue circ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211694" name="Picture 5" descr="A red white and blue circle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88981" cy="1288981"/>
                        </a:xfrm>
                        <a:prstGeom prst="rect">
                          <a:avLst/>
                        </a:prstGeom>
                      </pic:spPr>
                    </pic:pic>
                  </a:graphicData>
                </a:graphic>
              </wp:inline>
            </w:drawing>
          </w:r>
        </w:p>
      </w:tc>
      <w:tc>
        <w:tcPr>
          <w:tcW w:w="3552" w:type="dxa"/>
          <w:vMerge w:val="restart"/>
          <w:tcBorders>
            <w:top w:val="single" w:sz="12" w:space="0" w:color="auto"/>
            <w:left w:val="single" w:sz="12" w:space="0" w:color="auto"/>
            <w:right w:val="single" w:sz="12" w:space="0" w:color="auto"/>
          </w:tcBorders>
          <w:vAlign w:val="center"/>
        </w:tcPr>
        <w:p w14:paraId="379946B9" w14:textId="77777777" w:rsidR="004832C9" w:rsidRDefault="004832C9" w:rsidP="004832C9">
          <w:pPr>
            <w:spacing w:after="0" w:line="240" w:lineRule="auto"/>
            <w:jc w:val="center"/>
            <w:rPr>
              <w:b/>
            </w:rPr>
          </w:pPr>
        </w:p>
        <w:p w14:paraId="728E2C2E" w14:textId="7A402878" w:rsidR="000555C7" w:rsidRPr="00A165AC" w:rsidRDefault="00380D3E" w:rsidP="00380D3E">
          <w:pPr>
            <w:spacing w:after="0" w:line="240" w:lineRule="auto"/>
            <w:jc w:val="center"/>
            <w:rPr>
              <w:b/>
              <w:bCs/>
            </w:rPr>
          </w:pPr>
          <w:r w:rsidRPr="00A165AC">
            <w:rPr>
              <w:b/>
              <w:bCs/>
            </w:rPr>
            <w:t xml:space="preserve">GMWDB: </w:t>
          </w:r>
        </w:p>
      </w:tc>
      <w:tc>
        <w:tcPr>
          <w:tcW w:w="1667" w:type="dxa"/>
          <w:tcBorders>
            <w:top w:val="single" w:sz="12" w:space="0" w:color="auto"/>
            <w:left w:val="single" w:sz="12" w:space="0" w:color="auto"/>
            <w:bottom w:val="single" w:sz="12" w:space="0" w:color="auto"/>
            <w:right w:val="single" w:sz="12" w:space="0" w:color="auto"/>
          </w:tcBorders>
          <w:vAlign w:val="center"/>
        </w:tcPr>
        <w:p w14:paraId="5341E40F" w14:textId="776F196D" w:rsidR="000555C7" w:rsidRPr="00A165AC" w:rsidRDefault="000555C7" w:rsidP="00F6419B">
          <w:pPr>
            <w:spacing w:after="0" w:line="240" w:lineRule="auto"/>
            <w:rPr>
              <w:b/>
              <w:bCs/>
            </w:rPr>
          </w:pPr>
          <w:r w:rsidRPr="00A165AC">
            <w:rPr>
              <w:b/>
              <w:bCs/>
            </w:rPr>
            <w:t xml:space="preserve">Policy </w:t>
          </w:r>
          <w:r w:rsidR="00380D3E" w:rsidRPr="00A165AC">
            <w:rPr>
              <w:b/>
              <w:bCs/>
            </w:rPr>
            <w:t>Version:</w:t>
          </w:r>
        </w:p>
      </w:tc>
      <w:tc>
        <w:tcPr>
          <w:tcW w:w="1281" w:type="dxa"/>
          <w:tcBorders>
            <w:top w:val="single" w:sz="12" w:space="0" w:color="auto"/>
            <w:left w:val="single" w:sz="12" w:space="0" w:color="auto"/>
            <w:bottom w:val="single" w:sz="12" w:space="0" w:color="auto"/>
            <w:right w:val="single" w:sz="12" w:space="0" w:color="auto"/>
          </w:tcBorders>
          <w:vAlign w:val="center"/>
        </w:tcPr>
        <w:p w14:paraId="21D6FD53" w14:textId="08E6F4AA" w:rsidR="000555C7" w:rsidRPr="00F6419B" w:rsidRDefault="00D05313" w:rsidP="0011469B">
          <w:pPr>
            <w:spacing w:after="0" w:line="240" w:lineRule="auto"/>
            <w:jc w:val="center"/>
          </w:pPr>
          <w:r>
            <w:t>1</w:t>
          </w:r>
        </w:p>
      </w:tc>
    </w:tr>
    <w:tr w:rsidR="000555C7" w:rsidRPr="00F6419B" w14:paraId="3D66F587" w14:textId="77777777">
      <w:trPr>
        <w:trHeight w:val="510"/>
      </w:trPr>
      <w:tc>
        <w:tcPr>
          <w:tcW w:w="4033" w:type="dxa"/>
          <w:vMerge/>
          <w:tcBorders>
            <w:left w:val="single" w:sz="12" w:space="0" w:color="auto"/>
            <w:right w:val="single" w:sz="12" w:space="0" w:color="auto"/>
          </w:tcBorders>
        </w:tcPr>
        <w:p w14:paraId="3FD70294" w14:textId="77777777" w:rsidR="000555C7" w:rsidRPr="00F6419B" w:rsidRDefault="000555C7" w:rsidP="00F6419B">
          <w:pPr>
            <w:spacing w:after="0" w:line="240" w:lineRule="auto"/>
          </w:pPr>
        </w:p>
      </w:tc>
      <w:tc>
        <w:tcPr>
          <w:tcW w:w="3552" w:type="dxa"/>
          <w:vMerge/>
          <w:tcBorders>
            <w:left w:val="single" w:sz="12" w:space="0" w:color="auto"/>
            <w:bottom w:val="single" w:sz="12" w:space="0" w:color="auto"/>
            <w:right w:val="single" w:sz="12" w:space="0" w:color="auto"/>
          </w:tcBorders>
        </w:tcPr>
        <w:p w14:paraId="368AB970" w14:textId="77777777" w:rsidR="000555C7" w:rsidRPr="00F6419B" w:rsidRDefault="000555C7" w:rsidP="00F6419B">
          <w:pPr>
            <w:spacing w:after="0" w:line="240" w:lineRule="auto"/>
          </w:pPr>
        </w:p>
      </w:tc>
      <w:tc>
        <w:tcPr>
          <w:tcW w:w="1667" w:type="dxa"/>
          <w:tcBorders>
            <w:top w:val="single" w:sz="12" w:space="0" w:color="auto"/>
            <w:left w:val="single" w:sz="12" w:space="0" w:color="auto"/>
            <w:right w:val="single" w:sz="12" w:space="0" w:color="auto"/>
          </w:tcBorders>
          <w:vAlign w:val="center"/>
        </w:tcPr>
        <w:p w14:paraId="02F8D715" w14:textId="1AC7A0C3" w:rsidR="000555C7" w:rsidRPr="00A165AC" w:rsidRDefault="000555C7" w:rsidP="00F6419B">
          <w:pPr>
            <w:spacing w:after="0" w:line="240" w:lineRule="auto"/>
            <w:rPr>
              <w:b/>
              <w:bCs/>
            </w:rPr>
          </w:pPr>
          <w:r w:rsidRPr="00A165AC">
            <w:rPr>
              <w:b/>
              <w:bCs/>
            </w:rPr>
            <w:t>Effective Date</w:t>
          </w:r>
          <w:r w:rsidR="00380D3E" w:rsidRPr="00A165AC">
            <w:rPr>
              <w:b/>
              <w:bCs/>
            </w:rPr>
            <w:t>:</w:t>
          </w:r>
        </w:p>
      </w:tc>
      <w:tc>
        <w:tcPr>
          <w:tcW w:w="1281" w:type="dxa"/>
          <w:tcBorders>
            <w:top w:val="single" w:sz="12" w:space="0" w:color="auto"/>
            <w:left w:val="single" w:sz="12" w:space="0" w:color="auto"/>
            <w:right w:val="single" w:sz="12" w:space="0" w:color="auto"/>
          </w:tcBorders>
          <w:vAlign w:val="center"/>
        </w:tcPr>
        <w:p w14:paraId="1F5FE87E" w14:textId="38D7AD30" w:rsidR="000555C7" w:rsidRPr="00F6419B" w:rsidRDefault="00D8640F" w:rsidP="00F6419B">
          <w:pPr>
            <w:spacing w:after="0" w:line="240" w:lineRule="auto"/>
            <w:jc w:val="center"/>
          </w:pPr>
          <w:r>
            <w:t>1/22/25</w:t>
          </w:r>
        </w:p>
      </w:tc>
    </w:tr>
    <w:tr w:rsidR="000555C7" w:rsidRPr="00F6419B" w14:paraId="75E0BD38" w14:textId="77777777">
      <w:trPr>
        <w:trHeight w:val="530"/>
      </w:trPr>
      <w:tc>
        <w:tcPr>
          <w:tcW w:w="4033" w:type="dxa"/>
          <w:vMerge/>
          <w:tcBorders>
            <w:left w:val="single" w:sz="12" w:space="0" w:color="auto"/>
            <w:bottom w:val="single" w:sz="12" w:space="0" w:color="auto"/>
            <w:right w:val="single" w:sz="12" w:space="0" w:color="auto"/>
          </w:tcBorders>
        </w:tcPr>
        <w:p w14:paraId="31E61F06" w14:textId="77777777" w:rsidR="000555C7" w:rsidRPr="00F6419B" w:rsidRDefault="000555C7" w:rsidP="00F6419B">
          <w:pPr>
            <w:spacing w:after="0" w:line="240" w:lineRule="auto"/>
          </w:pPr>
        </w:p>
      </w:tc>
      <w:tc>
        <w:tcPr>
          <w:tcW w:w="3552" w:type="dxa"/>
          <w:vMerge w:val="restart"/>
          <w:tcBorders>
            <w:top w:val="single" w:sz="12" w:space="0" w:color="auto"/>
            <w:left w:val="single" w:sz="12" w:space="0" w:color="auto"/>
            <w:right w:val="single" w:sz="12" w:space="0" w:color="auto"/>
          </w:tcBorders>
          <w:vAlign w:val="center"/>
        </w:tcPr>
        <w:p w14:paraId="644100FE" w14:textId="2197AF83" w:rsidR="000555C7" w:rsidRPr="00A165AC" w:rsidRDefault="000555C7" w:rsidP="004832C9">
          <w:pPr>
            <w:spacing w:after="0" w:line="240" w:lineRule="auto"/>
            <w:jc w:val="center"/>
            <w:rPr>
              <w:b/>
              <w:bCs/>
            </w:rPr>
          </w:pPr>
          <w:r w:rsidRPr="00A165AC">
            <w:rPr>
              <w:b/>
              <w:bCs/>
            </w:rPr>
            <w:t xml:space="preserve">Subject: </w:t>
          </w:r>
          <w:r w:rsidR="00D8640F">
            <w:rPr>
              <w:rStyle w:val="Strong"/>
            </w:rPr>
            <w:t>Procedure for Paid Leave of Absence for Employees</w:t>
          </w:r>
          <w:r w:rsidRPr="00A165AC">
            <w:rPr>
              <w:b/>
              <w:bCs/>
            </w:rPr>
            <w:t xml:space="preserve"> </w:t>
          </w:r>
        </w:p>
      </w:tc>
      <w:tc>
        <w:tcPr>
          <w:tcW w:w="1667" w:type="dxa"/>
          <w:tcBorders>
            <w:top w:val="single" w:sz="12" w:space="0" w:color="auto"/>
            <w:left w:val="single" w:sz="12" w:space="0" w:color="auto"/>
            <w:bottom w:val="single" w:sz="8" w:space="0" w:color="auto"/>
            <w:right w:val="single" w:sz="12" w:space="0" w:color="auto"/>
          </w:tcBorders>
          <w:vAlign w:val="center"/>
        </w:tcPr>
        <w:p w14:paraId="2CD00BFB" w14:textId="223628E7" w:rsidR="000555C7" w:rsidRPr="00A165AC" w:rsidRDefault="00C76D8C" w:rsidP="00F6419B">
          <w:pPr>
            <w:spacing w:after="0" w:line="240" w:lineRule="auto"/>
            <w:rPr>
              <w:b/>
              <w:bCs/>
            </w:rPr>
          </w:pPr>
          <w:r>
            <w:rPr>
              <w:b/>
              <w:bCs/>
            </w:rPr>
            <w:t>Board Approved:</w:t>
          </w:r>
        </w:p>
      </w:tc>
      <w:tc>
        <w:tcPr>
          <w:tcW w:w="1281" w:type="dxa"/>
          <w:tcBorders>
            <w:top w:val="single" w:sz="12" w:space="0" w:color="auto"/>
            <w:left w:val="single" w:sz="12" w:space="0" w:color="auto"/>
            <w:bottom w:val="single" w:sz="8" w:space="0" w:color="auto"/>
            <w:right w:val="single" w:sz="12" w:space="0" w:color="auto"/>
          </w:tcBorders>
          <w:vAlign w:val="center"/>
        </w:tcPr>
        <w:p w14:paraId="446871C0" w14:textId="1B13DB9E" w:rsidR="000555C7" w:rsidRPr="00F6419B" w:rsidRDefault="00006F07" w:rsidP="00F6419B">
          <w:pPr>
            <w:spacing w:after="0" w:line="240" w:lineRule="auto"/>
            <w:jc w:val="center"/>
          </w:pPr>
          <w:r>
            <w:t>1/22/25</w:t>
          </w:r>
        </w:p>
      </w:tc>
    </w:tr>
    <w:tr w:rsidR="000555C7" w:rsidRPr="00F6419B" w14:paraId="6B6AA606" w14:textId="77777777">
      <w:trPr>
        <w:trHeight w:val="340"/>
      </w:trPr>
      <w:tc>
        <w:tcPr>
          <w:tcW w:w="4033" w:type="dxa"/>
          <w:vMerge/>
          <w:tcBorders>
            <w:top w:val="single" w:sz="12" w:space="0" w:color="auto"/>
            <w:left w:val="single" w:sz="12" w:space="0" w:color="auto"/>
            <w:bottom w:val="single" w:sz="12" w:space="0" w:color="auto"/>
            <w:right w:val="single" w:sz="12" w:space="0" w:color="auto"/>
          </w:tcBorders>
        </w:tcPr>
        <w:p w14:paraId="49C811D1" w14:textId="77777777" w:rsidR="000555C7" w:rsidRPr="00F6419B" w:rsidRDefault="000555C7" w:rsidP="00F6419B">
          <w:pPr>
            <w:spacing w:after="0" w:line="240" w:lineRule="auto"/>
          </w:pPr>
        </w:p>
      </w:tc>
      <w:tc>
        <w:tcPr>
          <w:tcW w:w="3552" w:type="dxa"/>
          <w:vMerge/>
          <w:tcBorders>
            <w:left w:val="single" w:sz="12" w:space="0" w:color="auto"/>
            <w:bottom w:val="single" w:sz="12" w:space="0" w:color="auto"/>
            <w:right w:val="single" w:sz="12" w:space="0" w:color="auto"/>
          </w:tcBorders>
        </w:tcPr>
        <w:p w14:paraId="1B605E2A" w14:textId="77777777" w:rsidR="000555C7" w:rsidRPr="00F6419B" w:rsidRDefault="000555C7" w:rsidP="00F6419B">
          <w:pPr>
            <w:spacing w:after="0" w:line="240" w:lineRule="auto"/>
          </w:pPr>
        </w:p>
      </w:tc>
      <w:tc>
        <w:tcPr>
          <w:tcW w:w="1667" w:type="dxa"/>
          <w:tcBorders>
            <w:top w:val="single" w:sz="12" w:space="0" w:color="auto"/>
            <w:left w:val="single" w:sz="12" w:space="0" w:color="auto"/>
            <w:bottom w:val="single" w:sz="12" w:space="0" w:color="auto"/>
            <w:right w:val="single" w:sz="12" w:space="0" w:color="auto"/>
          </w:tcBorders>
          <w:vAlign w:val="center"/>
        </w:tcPr>
        <w:p w14:paraId="5B091F90" w14:textId="3FAE686A" w:rsidR="000555C7" w:rsidRPr="00A165AC" w:rsidRDefault="000555C7" w:rsidP="00F6419B">
          <w:pPr>
            <w:spacing w:after="0" w:line="240" w:lineRule="auto"/>
            <w:rPr>
              <w:b/>
              <w:bCs/>
            </w:rPr>
          </w:pPr>
          <w:r w:rsidRPr="00A165AC">
            <w:rPr>
              <w:b/>
              <w:bCs/>
            </w:rPr>
            <w:t>Supersedes</w:t>
          </w:r>
          <w:r w:rsidR="00380D3E" w:rsidRPr="00A165AC">
            <w:rPr>
              <w:b/>
              <w:bCs/>
            </w:rPr>
            <w:t xml:space="preserve">: </w:t>
          </w:r>
        </w:p>
      </w:tc>
      <w:tc>
        <w:tcPr>
          <w:tcW w:w="1281" w:type="dxa"/>
          <w:tcBorders>
            <w:top w:val="single" w:sz="12" w:space="0" w:color="auto"/>
            <w:left w:val="single" w:sz="12" w:space="0" w:color="auto"/>
            <w:bottom w:val="single" w:sz="12" w:space="0" w:color="auto"/>
            <w:right w:val="single" w:sz="12" w:space="0" w:color="auto"/>
          </w:tcBorders>
          <w:vAlign w:val="center"/>
        </w:tcPr>
        <w:p w14:paraId="080CBAE5" w14:textId="486497A8" w:rsidR="000555C7" w:rsidRPr="00F6419B" w:rsidRDefault="00D8640F" w:rsidP="00F6419B">
          <w:pPr>
            <w:spacing w:after="0" w:line="240" w:lineRule="auto"/>
            <w:jc w:val="center"/>
          </w:pPr>
          <w:r>
            <w:t>N/A</w:t>
          </w:r>
        </w:p>
      </w:tc>
    </w:tr>
  </w:tbl>
  <w:p w14:paraId="75703547" w14:textId="77777777" w:rsidR="000555C7" w:rsidRDefault="000555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09AE0" w14:textId="77777777" w:rsidR="00006F07" w:rsidRDefault="00006F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67FF"/>
    <w:multiLevelType w:val="multilevel"/>
    <w:tmpl w:val="EBA49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6F567F"/>
    <w:multiLevelType w:val="hybridMultilevel"/>
    <w:tmpl w:val="455A0DB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17352F3"/>
    <w:multiLevelType w:val="multilevel"/>
    <w:tmpl w:val="EAB47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340B0D"/>
    <w:multiLevelType w:val="multilevel"/>
    <w:tmpl w:val="2E001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9A7C9B"/>
    <w:multiLevelType w:val="multilevel"/>
    <w:tmpl w:val="249CD5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A96FD5"/>
    <w:multiLevelType w:val="multilevel"/>
    <w:tmpl w:val="70BC7196"/>
    <w:lvl w:ilvl="0">
      <w:start w:val="1"/>
      <w:numFmt w:val="bullet"/>
      <w:lvlText w:val=""/>
      <w:lvlJc w:val="left"/>
      <w:pPr>
        <w:tabs>
          <w:tab w:val="num" w:pos="2520"/>
        </w:tabs>
        <w:ind w:left="2520" w:hanging="360"/>
      </w:pPr>
      <w:rPr>
        <w:rFonts w:ascii="Symbol" w:hAnsi="Symbol" w:hint="default"/>
      </w:rPr>
    </w:lvl>
    <w:lvl w:ilvl="1">
      <w:start w:val="1"/>
      <w:numFmt w:val="bullet"/>
      <w:lvlText w:val="o"/>
      <w:lvlJc w:val="left"/>
      <w:pPr>
        <w:tabs>
          <w:tab w:val="num" w:pos="3240"/>
        </w:tabs>
        <w:ind w:left="3240" w:hanging="360"/>
      </w:pPr>
      <w:rPr>
        <w:rFonts w:ascii="Courier New" w:hAnsi="Courier New" w:cs="Courier New" w:hint="default"/>
      </w:rPr>
    </w:lvl>
    <w:lvl w:ilvl="2">
      <w:start w:val="1"/>
      <w:numFmt w:val="bullet"/>
      <w:lvlText w:val=""/>
      <w:lvlJc w:val="left"/>
      <w:pPr>
        <w:tabs>
          <w:tab w:val="num" w:pos="3960"/>
        </w:tabs>
        <w:ind w:left="3960" w:hanging="360"/>
      </w:pPr>
      <w:rPr>
        <w:rFonts w:ascii="Wingdings" w:hAnsi="Wingdings" w:hint="default"/>
      </w:rPr>
    </w:lvl>
    <w:lvl w:ilvl="3">
      <w:start w:val="1"/>
      <w:numFmt w:val="bullet"/>
      <w:lvlText w:val=""/>
      <w:lvlJc w:val="left"/>
      <w:pPr>
        <w:tabs>
          <w:tab w:val="num" w:pos="4680"/>
        </w:tabs>
        <w:ind w:left="4680" w:hanging="360"/>
      </w:pPr>
      <w:rPr>
        <w:rFonts w:ascii="Symbol" w:hAnsi="Symbol" w:hint="default"/>
      </w:rPr>
    </w:lvl>
    <w:lvl w:ilvl="4">
      <w:start w:val="1"/>
      <w:numFmt w:val="bullet"/>
      <w:lvlText w:val="o"/>
      <w:lvlJc w:val="left"/>
      <w:pPr>
        <w:tabs>
          <w:tab w:val="num" w:pos="5400"/>
        </w:tabs>
        <w:ind w:left="5400" w:hanging="360"/>
      </w:pPr>
      <w:rPr>
        <w:rFonts w:ascii="Courier New" w:hAnsi="Courier New" w:cs="Courier New" w:hint="default"/>
      </w:rPr>
    </w:lvl>
    <w:lvl w:ilvl="5">
      <w:start w:val="1"/>
      <w:numFmt w:val="bullet"/>
      <w:lvlText w:val=""/>
      <w:lvlJc w:val="left"/>
      <w:pPr>
        <w:tabs>
          <w:tab w:val="num" w:pos="6120"/>
        </w:tabs>
        <w:ind w:left="6120" w:hanging="360"/>
      </w:pPr>
      <w:rPr>
        <w:rFonts w:ascii="Wingdings" w:hAnsi="Wingdings" w:hint="default"/>
      </w:rPr>
    </w:lvl>
    <w:lvl w:ilvl="6">
      <w:start w:val="1"/>
      <w:numFmt w:val="bullet"/>
      <w:lvlText w:val=""/>
      <w:lvlJc w:val="left"/>
      <w:pPr>
        <w:tabs>
          <w:tab w:val="num" w:pos="6840"/>
        </w:tabs>
        <w:ind w:left="6840" w:hanging="360"/>
      </w:pPr>
      <w:rPr>
        <w:rFonts w:ascii="Symbol" w:hAnsi="Symbol" w:hint="default"/>
      </w:rPr>
    </w:lvl>
    <w:lvl w:ilvl="7">
      <w:start w:val="1"/>
      <w:numFmt w:val="bullet"/>
      <w:lvlText w:val="o"/>
      <w:lvlJc w:val="left"/>
      <w:pPr>
        <w:tabs>
          <w:tab w:val="num" w:pos="7560"/>
        </w:tabs>
        <w:ind w:left="7560" w:hanging="360"/>
      </w:pPr>
      <w:rPr>
        <w:rFonts w:ascii="Courier New" w:hAnsi="Courier New" w:cs="Courier New" w:hint="default"/>
      </w:rPr>
    </w:lvl>
    <w:lvl w:ilvl="8">
      <w:start w:val="1"/>
      <w:numFmt w:val="bullet"/>
      <w:lvlText w:val=""/>
      <w:lvlJc w:val="left"/>
      <w:pPr>
        <w:tabs>
          <w:tab w:val="num" w:pos="8280"/>
        </w:tabs>
        <w:ind w:left="8280" w:hanging="360"/>
      </w:pPr>
      <w:rPr>
        <w:rFonts w:ascii="Wingdings" w:hAnsi="Wingdings" w:hint="default"/>
      </w:rPr>
    </w:lvl>
  </w:abstractNum>
  <w:abstractNum w:abstractNumId="6" w15:restartNumberingAfterBreak="0">
    <w:nsid w:val="173E664B"/>
    <w:multiLevelType w:val="hybridMultilevel"/>
    <w:tmpl w:val="C06A3B52"/>
    <w:lvl w:ilvl="0" w:tplc="04090003">
      <w:start w:val="1"/>
      <w:numFmt w:val="bullet"/>
      <w:lvlText w:val="o"/>
      <w:lvlJc w:val="left"/>
      <w:pPr>
        <w:tabs>
          <w:tab w:val="num" w:pos="2520"/>
        </w:tabs>
        <w:ind w:left="2520" w:hanging="360"/>
      </w:pPr>
      <w:rPr>
        <w:rFonts w:ascii="Courier New" w:hAnsi="Courier New" w:cs="Courier New"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7" w15:restartNumberingAfterBreak="0">
    <w:nsid w:val="18093F98"/>
    <w:multiLevelType w:val="multilevel"/>
    <w:tmpl w:val="C1903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DD16C8"/>
    <w:multiLevelType w:val="hybridMultilevel"/>
    <w:tmpl w:val="7BEEE1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575AF7"/>
    <w:multiLevelType w:val="hybridMultilevel"/>
    <w:tmpl w:val="ED12623E"/>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1D590E2A"/>
    <w:multiLevelType w:val="hybridMultilevel"/>
    <w:tmpl w:val="040EEC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76625A"/>
    <w:multiLevelType w:val="hybridMultilevel"/>
    <w:tmpl w:val="E3584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B65038"/>
    <w:multiLevelType w:val="multilevel"/>
    <w:tmpl w:val="5C4E97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DB4752"/>
    <w:multiLevelType w:val="hybridMultilevel"/>
    <w:tmpl w:val="A5C615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6C3ECD"/>
    <w:multiLevelType w:val="hybridMultilevel"/>
    <w:tmpl w:val="1AF0E0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C93FB6"/>
    <w:multiLevelType w:val="multilevel"/>
    <w:tmpl w:val="C874A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3DD0023"/>
    <w:multiLevelType w:val="multilevel"/>
    <w:tmpl w:val="C42A3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8352C7"/>
    <w:multiLevelType w:val="multilevel"/>
    <w:tmpl w:val="D8BE6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9F96945"/>
    <w:multiLevelType w:val="hybridMultilevel"/>
    <w:tmpl w:val="7F9642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B1D374B"/>
    <w:multiLevelType w:val="multilevel"/>
    <w:tmpl w:val="D2A0E9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D3B6FD8"/>
    <w:multiLevelType w:val="multilevel"/>
    <w:tmpl w:val="EB70C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E052E6C"/>
    <w:multiLevelType w:val="multilevel"/>
    <w:tmpl w:val="21D6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FB7F60"/>
    <w:multiLevelType w:val="multilevel"/>
    <w:tmpl w:val="AEE63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2785766"/>
    <w:multiLevelType w:val="hybridMultilevel"/>
    <w:tmpl w:val="B0CABB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CFD661D"/>
    <w:multiLevelType w:val="hybridMultilevel"/>
    <w:tmpl w:val="46B04D4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3D2F6B09"/>
    <w:multiLevelType w:val="hybridMultilevel"/>
    <w:tmpl w:val="FC18F208"/>
    <w:lvl w:ilvl="0" w:tplc="39A8643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3E114F89"/>
    <w:multiLevelType w:val="hybridMultilevel"/>
    <w:tmpl w:val="894E18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1521F21"/>
    <w:multiLevelType w:val="multilevel"/>
    <w:tmpl w:val="C2A26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8094A10"/>
    <w:multiLevelType w:val="multilevel"/>
    <w:tmpl w:val="361C3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172F5D"/>
    <w:multiLevelType w:val="hybridMultilevel"/>
    <w:tmpl w:val="70BC7196"/>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0" w15:restartNumberingAfterBreak="0">
    <w:nsid w:val="4C38401D"/>
    <w:multiLevelType w:val="multilevel"/>
    <w:tmpl w:val="BB8095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36B73A8"/>
    <w:multiLevelType w:val="hybridMultilevel"/>
    <w:tmpl w:val="4CB29B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7077DB1"/>
    <w:multiLevelType w:val="multilevel"/>
    <w:tmpl w:val="A4A4D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7D3737D"/>
    <w:multiLevelType w:val="hybridMultilevel"/>
    <w:tmpl w:val="5CC20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1B52008"/>
    <w:multiLevelType w:val="multilevel"/>
    <w:tmpl w:val="C06A3B52"/>
    <w:lvl w:ilvl="0">
      <w:start w:val="1"/>
      <w:numFmt w:val="bullet"/>
      <w:lvlText w:val="o"/>
      <w:lvlJc w:val="left"/>
      <w:pPr>
        <w:tabs>
          <w:tab w:val="num" w:pos="2520"/>
        </w:tabs>
        <w:ind w:left="2520" w:hanging="360"/>
      </w:pPr>
      <w:rPr>
        <w:rFonts w:ascii="Courier New" w:hAnsi="Courier New" w:cs="Courier New" w:hint="default"/>
      </w:rPr>
    </w:lvl>
    <w:lvl w:ilvl="1">
      <w:start w:val="1"/>
      <w:numFmt w:val="bullet"/>
      <w:lvlText w:val="o"/>
      <w:lvlJc w:val="left"/>
      <w:pPr>
        <w:tabs>
          <w:tab w:val="num" w:pos="3240"/>
        </w:tabs>
        <w:ind w:left="3240" w:hanging="360"/>
      </w:pPr>
      <w:rPr>
        <w:rFonts w:ascii="Courier New" w:hAnsi="Courier New" w:cs="Courier New" w:hint="default"/>
      </w:rPr>
    </w:lvl>
    <w:lvl w:ilvl="2">
      <w:start w:val="1"/>
      <w:numFmt w:val="bullet"/>
      <w:lvlText w:val=""/>
      <w:lvlJc w:val="left"/>
      <w:pPr>
        <w:tabs>
          <w:tab w:val="num" w:pos="3960"/>
        </w:tabs>
        <w:ind w:left="3960" w:hanging="360"/>
      </w:pPr>
      <w:rPr>
        <w:rFonts w:ascii="Wingdings" w:hAnsi="Wingdings" w:hint="default"/>
      </w:rPr>
    </w:lvl>
    <w:lvl w:ilvl="3">
      <w:start w:val="1"/>
      <w:numFmt w:val="bullet"/>
      <w:lvlText w:val=""/>
      <w:lvlJc w:val="left"/>
      <w:pPr>
        <w:tabs>
          <w:tab w:val="num" w:pos="4680"/>
        </w:tabs>
        <w:ind w:left="4680" w:hanging="360"/>
      </w:pPr>
      <w:rPr>
        <w:rFonts w:ascii="Symbol" w:hAnsi="Symbol" w:hint="default"/>
      </w:rPr>
    </w:lvl>
    <w:lvl w:ilvl="4">
      <w:start w:val="1"/>
      <w:numFmt w:val="bullet"/>
      <w:lvlText w:val="o"/>
      <w:lvlJc w:val="left"/>
      <w:pPr>
        <w:tabs>
          <w:tab w:val="num" w:pos="5400"/>
        </w:tabs>
        <w:ind w:left="5400" w:hanging="360"/>
      </w:pPr>
      <w:rPr>
        <w:rFonts w:ascii="Courier New" w:hAnsi="Courier New" w:cs="Courier New" w:hint="default"/>
      </w:rPr>
    </w:lvl>
    <w:lvl w:ilvl="5">
      <w:start w:val="1"/>
      <w:numFmt w:val="bullet"/>
      <w:lvlText w:val=""/>
      <w:lvlJc w:val="left"/>
      <w:pPr>
        <w:tabs>
          <w:tab w:val="num" w:pos="6120"/>
        </w:tabs>
        <w:ind w:left="6120" w:hanging="360"/>
      </w:pPr>
      <w:rPr>
        <w:rFonts w:ascii="Wingdings" w:hAnsi="Wingdings" w:hint="default"/>
      </w:rPr>
    </w:lvl>
    <w:lvl w:ilvl="6">
      <w:start w:val="1"/>
      <w:numFmt w:val="bullet"/>
      <w:lvlText w:val=""/>
      <w:lvlJc w:val="left"/>
      <w:pPr>
        <w:tabs>
          <w:tab w:val="num" w:pos="6840"/>
        </w:tabs>
        <w:ind w:left="6840" w:hanging="360"/>
      </w:pPr>
      <w:rPr>
        <w:rFonts w:ascii="Symbol" w:hAnsi="Symbol" w:hint="default"/>
      </w:rPr>
    </w:lvl>
    <w:lvl w:ilvl="7">
      <w:start w:val="1"/>
      <w:numFmt w:val="bullet"/>
      <w:lvlText w:val="o"/>
      <w:lvlJc w:val="left"/>
      <w:pPr>
        <w:tabs>
          <w:tab w:val="num" w:pos="7560"/>
        </w:tabs>
        <w:ind w:left="7560" w:hanging="360"/>
      </w:pPr>
      <w:rPr>
        <w:rFonts w:ascii="Courier New" w:hAnsi="Courier New" w:cs="Courier New" w:hint="default"/>
      </w:rPr>
    </w:lvl>
    <w:lvl w:ilvl="8">
      <w:start w:val="1"/>
      <w:numFmt w:val="bullet"/>
      <w:lvlText w:val=""/>
      <w:lvlJc w:val="left"/>
      <w:pPr>
        <w:tabs>
          <w:tab w:val="num" w:pos="8280"/>
        </w:tabs>
        <w:ind w:left="8280" w:hanging="360"/>
      </w:pPr>
      <w:rPr>
        <w:rFonts w:ascii="Wingdings" w:hAnsi="Wingdings" w:hint="default"/>
      </w:rPr>
    </w:lvl>
  </w:abstractNum>
  <w:abstractNum w:abstractNumId="35" w15:restartNumberingAfterBreak="0">
    <w:nsid w:val="67DD4379"/>
    <w:multiLevelType w:val="hybridMultilevel"/>
    <w:tmpl w:val="4642D2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9413E67"/>
    <w:multiLevelType w:val="hybridMultilevel"/>
    <w:tmpl w:val="22020F54"/>
    <w:lvl w:ilvl="0" w:tplc="04090001">
      <w:start w:val="1"/>
      <w:numFmt w:val="bullet"/>
      <w:lvlText w:val=""/>
      <w:lvlJc w:val="left"/>
      <w:pPr>
        <w:tabs>
          <w:tab w:val="num" w:pos="2340"/>
        </w:tabs>
        <w:ind w:left="2340" w:hanging="360"/>
      </w:pPr>
      <w:rPr>
        <w:rFonts w:ascii="Symbol" w:hAnsi="Symbol" w:hint="default"/>
      </w:rPr>
    </w:lvl>
    <w:lvl w:ilvl="1" w:tplc="04090003" w:tentative="1">
      <w:start w:val="1"/>
      <w:numFmt w:val="bullet"/>
      <w:lvlText w:val="o"/>
      <w:lvlJc w:val="left"/>
      <w:pPr>
        <w:tabs>
          <w:tab w:val="num" w:pos="3060"/>
        </w:tabs>
        <w:ind w:left="3060" w:hanging="360"/>
      </w:pPr>
      <w:rPr>
        <w:rFonts w:ascii="Courier New" w:hAnsi="Courier New" w:cs="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37" w15:restartNumberingAfterBreak="0">
    <w:nsid w:val="6ED76DE2"/>
    <w:multiLevelType w:val="multilevel"/>
    <w:tmpl w:val="98104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F432399"/>
    <w:multiLevelType w:val="hybridMultilevel"/>
    <w:tmpl w:val="D7EC05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6DC2A56"/>
    <w:multiLevelType w:val="hybridMultilevel"/>
    <w:tmpl w:val="D45A28EA"/>
    <w:lvl w:ilvl="0" w:tplc="04090001">
      <w:start w:val="1"/>
      <w:numFmt w:val="bullet"/>
      <w:lvlText w:val=""/>
      <w:lvlJc w:val="left"/>
      <w:pPr>
        <w:tabs>
          <w:tab w:val="num" w:pos="2224"/>
        </w:tabs>
        <w:ind w:left="2224" w:hanging="360"/>
      </w:pPr>
      <w:rPr>
        <w:rFonts w:ascii="Symbol" w:hAnsi="Symbol" w:hint="default"/>
      </w:rPr>
    </w:lvl>
    <w:lvl w:ilvl="1" w:tplc="04090003" w:tentative="1">
      <w:start w:val="1"/>
      <w:numFmt w:val="bullet"/>
      <w:lvlText w:val="o"/>
      <w:lvlJc w:val="left"/>
      <w:pPr>
        <w:tabs>
          <w:tab w:val="num" w:pos="2944"/>
        </w:tabs>
        <w:ind w:left="2944" w:hanging="360"/>
      </w:pPr>
      <w:rPr>
        <w:rFonts w:ascii="Courier New" w:hAnsi="Courier New" w:cs="Courier New" w:hint="default"/>
      </w:rPr>
    </w:lvl>
    <w:lvl w:ilvl="2" w:tplc="04090005" w:tentative="1">
      <w:start w:val="1"/>
      <w:numFmt w:val="bullet"/>
      <w:lvlText w:val=""/>
      <w:lvlJc w:val="left"/>
      <w:pPr>
        <w:tabs>
          <w:tab w:val="num" w:pos="3664"/>
        </w:tabs>
        <w:ind w:left="3664" w:hanging="360"/>
      </w:pPr>
      <w:rPr>
        <w:rFonts w:ascii="Wingdings" w:hAnsi="Wingdings" w:hint="default"/>
      </w:rPr>
    </w:lvl>
    <w:lvl w:ilvl="3" w:tplc="04090001" w:tentative="1">
      <w:start w:val="1"/>
      <w:numFmt w:val="bullet"/>
      <w:lvlText w:val=""/>
      <w:lvlJc w:val="left"/>
      <w:pPr>
        <w:tabs>
          <w:tab w:val="num" w:pos="4384"/>
        </w:tabs>
        <w:ind w:left="4384" w:hanging="360"/>
      </w:pPr>
      <w:rPr>
        <w:rFonts w:ascii="Symbol" w:hAnsi="Symbol" w:hint="default"/>
      </w:rPr>
    </w:lvl>
    <w:lvl w:ilvl="4" w:tplc="04090003" w:tentative="1">
      <w:start w:val="1"/>
      <w:numFmt w:val="bullet"/>
      <w:lvlText w:val="o"/>
      <w:lvlJc w:val="left"/>
      <w:pPr>
        <w:tabs>
          <w:tab w:val="num" w:pos="5104"/>
        </w:tabs>
        <w:ind w:left="5104" w:hanging="360"/>
      </w:pPr>
      <w:rPr>
        <w:rFonts w:ascii="Courier New" w:hAnsi="Courier New" w:cs="Courier New" w:hint="default"/>
      </w:rPr>
    </w:lvl>
    <w:lvl w:ilvl="5" w:tplc="04090005" w:tentative="1">
      <w:start w:val="1"/>
      <w:numFmt w:val="bullet"/>
      <w:lvlText w:val=""/>
      <w:lvlJc w:val="left"/>
      <w:pPr>
        <w:tabs>
          <w:tab w:val="num" w:pos="5824"/>
        </w:tabs>
        <w:ind w:left="5824" w:hanging="360"/>
      </w:pPr>
      <w:rPr>
        <w:rFonts w:ascii="Wingdings" w:hAnsi="Wingdings" w:hint="default"/>
      </w:rPr>
    </w:lvl>
    <w:lvl w:ilvl="6" w:tplc="04090001" w:tentative="1">
      <w:start w:val="1"/>
      <w:numFmt w:val="bullet"/>
      <w:lvlText w:val=""/>
      <w:lvlJc w:val="left"/>
      <w:pPr>
        <w:tabs>
          <w:tab w:val="num" w:pos="6544"/>
        </w:tabs>
        <w:ind w:left="6544" w:hanging="360"/>
      </w:pPr>
      <w:rPr>
        <w:rFonts w:ascii="Symbol" w:hAnsi="Symbol" w:hint="default"/>
      </w:rPr>
    </w:lvl>
    <w:lvl w:ilvl="7" w:tplc="04090003" w:tentative="1">
      <w:start w:val="1"/>
      <w:numFmt w:val="bullet"/>
      <w:lvlText w:val="o"/>
      <w:lvlJc w:val="left"/>
      <w:pPr>
        <w:tabs>
          <w:tab w:val="num" w:pos="7264"/>
        </w:tabs>
        <w:ind w:left="7264" w:hanging="360"/>
      </w:pPr>
      <w:rPr>
        <w:rFonts w:ascii="Courier New" w:hAnsi="Courier New" w:cs="Courier New" w:hint="default"/>
      </w:rPr>
    </w:lvl>
    <w:lvl w:ilvl="8" w:tplc="04090005" w:tentative="1">
      <w:start w:val="1"/>
      <w:numFmt w:val="bullet"/>
      <w:lvlText w:val=""/>
      <w:lvlJc w:val="left"/>
      <w:pPr>
        <w:tabs>
          <w:tab w:val="num" w:pos="7984"/>
        </w:tabs>
        <w:ind w:left="7984" w:hanging="360"/>
      </w:pPr>
      <w:rPr>
        <w:rFonts w:ascii="Wingdings" w:hAnsi="Wingdings" w:hint="default"/>
      </w:rPr>
    </w:lvl>
  </w:abstractNum>
  <w:abstractNum w:abstractNumId="40" w15:restartNumberingAfterBreak="0">
    <w:nsid w:val="77D03709"/>
    <w:multiLevelType w:val="hybridMultilevel"/>
    <w:tmpl w:val="FBC093F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C2F6C64"/>
    <w:multiLevelType w:val="multilevel"/>
    <w:tmpl w:val="F170E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C8252A6"/>
    <w:multiLevelType w:val="multilevel"/>
    <w:tmpl w:val="CAB29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E432CA"/>
    <w:multiLevelType w:val="multilevel"/>
    <w:tmpl w:val="4E7A1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6617450">
    <w:abstractNumId w:val="33"/>
  </w:num>
  <w:num w:numId="2" w16cid:durableId="2129159234">
    <w:abstractNumId w:val="25"/>
  </w:num>
  <w:num w:numId="3" w16cid:durableId="2030062108">
    <w:abstractNumId w:val="1"/>
  </w:num>
  <w:num w:numId="4" w16cid:durableId="1320108778">
    <w:abstractNumId w:val="24"/>
  </w:num>
  <w:num w:numId="5" w16cid:durableId="2051563160">
    <w:abstractNumId w:val="39"/>
  </w:num>
  <w:num w:numId="6" w16cid:durableId="1906137685">
    <w:abstractNumId w:val="40"/>
  </w:num>
  <w:num w:numId="7" w16cid:durableId="576090082">
    <w:abstractNumId w:val="8"/>
  </w:num>
  <w:num w:numId="8" w16cid:durableId="1235625292">
    <w:abstractNumId w:val="11"/>
  </w:num>
  <w:num w:numId="9" w16cid:durableId="1425106446">
    <w:abstractNumId w:val="10"/>
  </w:num>
  <w:num w:numId="10" w16cid:durableId="872889556">
    <w:abstractNumId w:val="23"/>
  </w:num>
  <w:num w:numId="11" w16cid:durableId="1558466859">
    <w:abstractNumId w:val="14"/>
  </w:num>
  <w:num w:numId="12" w16cid:durableId="1096511751">
    <w:abstractNumId w:val="18"/>
  </w:num>
  <w:num w:numId="13" w16cid:durableId="1180506032">
    <w:abstractNumId w:val="26"/>
  </w:num>
  <w:num w:numId="14" w16cid:durableId="916983336">
    <w:abstractNumId w:val="36"/>
  </w:num>
  <w:num w:numId="15" w16cid:durableId="1267688960">
    <w:abstractNumId w:val="29"/>
  </w:num>
  <w:num w:numId="16" w16cid:durableId="1527907519">
    <w:abstractNumId w:val="5"/>
  </w:num>
  <w:num w:numId="17" w16cid:durableId="1079913090">
    <w:abstractNumId w:val="6"/>
  </w:num>
  <w:num w:numId="18" w16cid:durableId="816603175">
    <w:abstractNumId w:val="34"/>
  </w:num>
  <w:num w:numId="19" w16cid:durableId="1466462787">
    <w:abstractNumId w:val="9"/>
  </w:num>
  <w:num w:numId="20" w16cid:durableId="375398183">
    <w:abstractNumId w:val="38"/>
  </w:num>
  <w:num w:numId="21" w16cid:durableId="2093701172">
    <w:abstractNumId w:val="35"/>
  </w:num>
  <w:num w:numId="22" w16cid:durableId="1646621649">
    <w:abstractNumId w:val="31"/>
  </w:num>
  <w:num w:numId="23" w16cid:durableId="776411479">
    <w:abstractNumId w:val="13"/>
  </w:num>
  <w:num w:numId="24" w16cid:durableId="365567698">
    <w:abstractNumId w:val="43"/>
  </w:num>
  <w:num w:numId="25" w16cid:durableId="229199569">
    <w:abstractNumId w:val="16"/>
  </w:num>
  <w:num w:numId="26" w16cid:durableId="1690832473">
    <w:abstractNumId w:val="37"/>
  </w:num>
  <w:num w:numId="27" w16cid:durableId="601648309">
    <w:abstractNumId w:val="4"/>
  </w:num>
  <w:num w:numId="28" w16cid:durableId="477036984">
    <w:abstractNumId w:val="17"/>
  </w:num>
  <w:num w:numId="29" w16cid:durableId="109399579">
    <w:abstractNumId w:val="12"/>
  </w:num>
  <w:num w:numId="30" w16cid:durableId="743451586">
    <w:abstractNumId w:val="15"/>
  </w:num>
  <w:num w:numId="31" w16cid:durableId="1557935672">
    <w:abstractNumId w:val="41"/>
  </w:num>
  <w:num w:numId="32" w16cid:durableId="114374315">
    <w:abstractNumId w:val="28"/>
  </w:num>
  <w:num w:numId="33" w16cid:durableId="1790510646">
    <w:abstractNumId w:val="21"/>
  </w:num>
  <w:num w:numId="34" w16cid:durableId="1704013072">
    <w:abstractNumId w:val="0"/>
  </w:num>
  <w:num w:numId="35" w16cid:durableId="221911702">
    <w:abstractNumId w:val="42"/>
  </w:num>
  <w:num w:numId="36" w16cid:durableId="1510564577">
    <w:abstractNumId w:val="20"/>
  </w:num>
  <w:num w:numId="37" w16cid:durableId="1135875231">
    <w:abstractNumId w:val="22"/>
  </w:num>
  <w:num w:numId="38" w16cid:durableId="1299919559">
    <w:abstractNumId w:val="32"/>
  </w:num>
  <w:num w:numId="39" w16cid:durableId="140464925">
    <w:abstractNumId w:val="19"/>
  </w:num>
  <w:num w:numId="40" w16cid:durableId="1122109905">
    <w:abstractNumId w:val="27"/>
  </w:num>
  <w:num w:numId="41" w16cid:durableId="381101105">
    <w:abstractNumId w:val="30"/>
  </w:num>
  <w:num w:numId="42" w16cid:durableId="13461367">
    <w:abstractNumId w:val="7"/>
  </w:num>
  <w:num w:numId="43" w16cid:durableId="96408670">
    <w:abstractNumId w:val="3"/>
  </w:num>
  <w:num w:numId="44" w16cid:durableId="2259968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2A9"/>
    <w:rsid w:val="00006F07"/>
    <w:rsid w:val="0002349F"/>
    <w:rsid w:val="00025645"/>
    <w:rsid w:val="00025AED"/>
    <w:rsid w:val="00025E6D"/>
    <w:rsid w:val="00033E41"/>
    <w:rsid w:val="000418DB"/>
    <w:rsid w:val="0004342B"/>
    <w:rsid w:val="00047DE9"/>
    <w:rsid w:val="0005288C"/>
    <w:rsid w:val="00054E7B"/>
    <w:rsid w:val="000555C7"/>
    <w:rsid w:val="0005659A"/>
    <w:rsid w:val="000602EC"/>
    <w:rsid w:val="0006123C"/>
    <w:rsid w:val="00061B5E"/>
    <w:rsid w:val="00062043"/>
    <w:rsid w:val="00066476"/>
    <w:rsid w:val="000747D7"/>
    <w:rsid w:val="0007628C"/>
    <w:rsid w:val="00077EBC"/>
    <w:rsid w:val="00087F2A"/>
    <w:rsid w:val="00090388"/>
    <w:rsid w:val="00091AE7"/>
    <w:rsid w:val="000A2C0E"/>
    <w:rsid w:val="000A2F6B"/>
    <w:rsid w:val="000B2715"/>
    <w:rsid w:val="000B500E"/>
    <w:rsid w:val="000E4E68"/>
    <w:rsid w:val="000F0C02"/>
    <w:rsid w:val="000F1F76"/>
    <w:rsid w:val="000F38D0"/>
    <w:rsid w:val="000F6203"/>
    <w:rsid w:val="001003AD"/>
    <w:rsid w:val="00100716"/>
    <w:rsid w:val="00107D80"/>
    <w:rsid w:val="00112A6F"/>
    <w:rsid w:val="00113BE6"/>
    <w:rsid w:val="0011469B"/>
    <w:rsid w:val="00114A16"/>
    <w:rsid w:val="001154FD"/>
    <w:rsid w:val="001171CF"/>
    <w:rsid w:val="001176B7"/>
    <w:rsid w:val="00121370"/>
    <w:rsid w:val="00122843"/>
    <w:rsid w:val="0012595B"/>
    <w:rsid w:val="00130B3A"/>
    <w:rsid w:val="00131AA0"/>
    <w:rsid w:val="001440B8"/>
    <w:rsid w:val="001444D5"/>
    <w:rsid w:val="00155A7D"/>
    <w:rsid w:val="001600C2"/>
    <w:rsid w:val="001647D3"/>
    <w:rsid w:val="00165845"/>
    <w:rsid w:val="00166D9C"/>
    <w:rsid w:val="00172B10"/>
    <w:rsid w:val="00177F28"/>
    <w:rsid w:val="00190B83"/>
    <w:rsid w:val="00191A8D"/>
    <w:rsid w:val="001A0179"/>
    <w:rsid w:val="001A6064"/>
    <w:rsid w:val="001B101B"/>
    <w:rsid w:val="001B1231"/>
    <w:rsid w:val="001B4C38"/>
    <w:rsid w:val="001C1993"/>
    <w:rsid w:val="001C22AF"/>
    <w:rsid w:val="001C6583"/>
    <w:rsid w:val="001C78B6"/>
    <w:rsid w:val="001C7B49"/>
    <w:rsid w:val="001D0AF7"/>
    <w:rsid w:val="001E0DAA"/>
    <w:rsid w:val="001E7B3E"/>
    <w:rsid w:val="001F327E"/>
    <w:rsid w:val="001F382D"/>
    <w:rsid w:val="001F6707"/>
    <w:rsid w:val="0020065B"/>
    <w:rsid w:val="00200FC6"/>
    <w:rsid w:val="00205E1D"/>
    <w:rsid w:val="002205E2"/>
    <w:rsid w:val="00226683"/>
    <w:rsid w:val="00231410"/>
    <w:rsid w:val="0023293A"/>
    <w:rsid w:val="002329C2"/>
    <w:rsid w:val="00235D37"/>
    <w:rsid w:val="00235D62"/>
    <w:rsid w:val="0024019A"/>
    <w:rsid w:val="00243F88"/>
    <w:rsid w:val="00247184"/>
    <w:rsid w:val="002511FA"/>
    <w:rsid w:val="0025338C"/>
    <w:rsid w:val="002621FC"/>
    <w:rsid w:val="0027185F"/>
    <w:rsid w:val="00276FD4"/>
    <w:rsid w:val="002802AC"/>
    <w:rsid w:val="00282A50"/>
    <w:rsid w:val="00282CDC"/>
    <w:rsid w:val="002A410B"/>
    <w:rsid w:val="002B30D9"/>
    <w:rsid w:val="002C190C"/>
    <w:rsid w:val="002C4E3B"/>
    <w:rsid w:val="002C6259"/>
    <w:rsid w:val="002C6576"/>
    <w:rsid w:val="002C7FB0"/>
    <w:rsid w:val="002D3BA1"/>
    <w:rsid w:val="002D5617"/>
    <w:rsid w:val="002D6D98"/>
    <w:rsid w:val="002E01B4"/>
    <w:rsid w:val="002E285A"/>
    <w:rsid w:val="002E577F"/>
    <w:rsid w:val="002E77B8"/>
    <w:rsid w:val="002F134E"/>
    <w:rsid w:val="002F3013"/>
    <w:rsid w:val="002F36E7"/>
    <w:rsid w:val="00304BF3"/>
    <w:rsid w:val="003066F5"/>
    <w:rsid w:val="0031354C"/>
    <w:rsid w:val="00315A38"/>
    <w:rsid w:val="00332CD5"/>
    <w:rsid w:val="0034116A"/>
    <w:rsid w:val="00347F0B"/>
    <w:rsid w:val="00350681"/>
    <w:rsid w:val="00354CBF"/>
    <w:rsid w:val="00355C86"/>
    <w:rsid w:val="0037428A"/>
    <w:rsid w:val="00380D3E"/>
    <w:rsid w:val="0038160D"/>
    <w:rsid w:val="00384266"/>
    <w:rsid w:val="003928DF"/>
    <w:rsid w:val="00392C3C"/>
    <w:rsid w:val="0039425D"/>
    <w:rsid w:val="00394649"/>
    <w:rsid w:val="003A0A54"/>
    <w:rsid w:val="003A401E"/>
    <w:rsid w:val="003A4492"/>
    <w:rsid w:val="003C1438"/>
    <w:rsid w:val="003C4D64"/>
    <w:rsid w:val="003D21A6"/>
    <w:rsid w:val="003E0C1E"/>
    <w:rsid w:val="003E0C49"/>
    <w:rsid w:val="003E112E"/>
    <w:rsid w:val="003E2C0B"/>
    <w:rsid w:val="003E352F"/>
    <w:rsid w:val="003F39C0"/>
    <w:rsid w:val="003F3C6A"/>
    <w:rsid w:val="003F6F5D"/>
    <w:rsid w:val="00401C73"/>
    <w:rsid w:val="0040393C"/>
    <w:rsid w:val="00403CEA"/>
    <w:rsid w:val="00405C6D"/>
    <w:rsid w:val="00407767"/>
    <w:rsid w:val="004108C4"/>
    <w:rsid w:val="00426485"/>
    <w:rsid w:val="0044010D"/>
    <w:rsid w:val="00443772"/>
    <w:rsid w:val="00443D28"/>
    <w:rsid w:val="00451AC3"/>
    <w:rsid w:val="00451F65"/>
    <w:rsid w:val="00452622"/>
    <w:rsid w:val="004668D0"/>
    <w:rsid w:val="004744A2"/>
    <w:rsid w:val="0047710B"/>
    <w:rsid w:val="004832C9"/>
    <w:rsid w:val="00487F1A"/>
    <w:rsid w:val="00494831"/>
    <w:rsid w:val="00495AB1"/>
    <w:rsid w:val="00496F7B"/>
    <w:rsid w:val="004A2824"/>
    <w:rsid w:val="004A39A8"/>
    <w:rsid w:val="004A4E57"/>
    <w:rsid w:val="004A5C3A"/>
    <w:rsid w:val="004C429E"/>
    <w:rsid w:val="004C4318"/>
    <w:rsid w:val="004C4FDE"/>
    <w:rsid w:val="004C5280"/>
    <w:rsid w:val="004C7843"/>
    <w:rsid w:val="004D4D48"/>
    <w:rsid w:val="004D514E"/>
    <w:rsid w:val="004E5124"/>
    <w:rsid w:val="004E5C27"/>
    <w:rsid w:val="004F0A75"/>
    <w:rsid w:val="004F456B"/>
    <w:rsid w:val="004F6E51"/>
    <w:rsid w:val="0050359D"/>
    <w:rsid w:val="00504321"/>
    <w:rsid w:val="00505A8C"/>
    <w:rsid w:val="0050657F"/>
    <w:rsid w:val="0051044B"/>
    <w:rsid w:val="00512822"/>
    <w:rsid w:val="00520163"/>
    <w:rsid w:val="0052347A"/>
    <w:rsid w:val="0052352C"/>
    <w:rsid w:val="00523690"/>
    <w:rsid w:val="0052431F"/>
    <w:rsid w:val="0053290D"/>
    <w:rsid w:val="005364BE"/>
    <w:rsid w:val="00540B35"/>
    <w:rsid w:val="00550BD6"/>
    <w:rsid w:val="00554DB6"/>
    <w:rsid w:val="0057555E"/>
    <w:rsid w:val="00576569"/>
    <w:rsid w:val="00581D5E"/>
    <w:rsid w:val="00582642"/>
    <w:rsid w:val="00582A9C"/>
    <w:rsid w:val="00584FB6"/>
    <w:rsid w:val="00584FD3"/>
    <w:rsid w:val="0058756B"/>
    <w:rsid w:val="00587B76"/>
    <w:rsid w:val="005A5B34"/>
    <w:rsid w:val="005A632F"/>
    <w:rsid w:val="005B65FF"/>
    <w:rsid w:val="005C3CD1"/>
    <w:rsid w:val="005C4D87"/>
    <w:rsid w:val="005C51A6"/>
    <w:rsid w:val="005D5A2B"/>
    <w:rsid w:val="005E18E4"/>
    <w:rsid w:val="005E3D15"/>
    <w:rsid w:val="00604751"/>
    <w:rsid w:val="00605345"/>
    <w:rsid w:val="0061413F"/>
    <w:rsid w:val="00615AD5"/>
    <w:rsid w:val="00616121"/>
    <w:rsid w:val="0061625B"/>
    <w:rsid w:val="00623C03"/>
    <w:rsid w:val="006251DB"/>
    <w:rsid w:val="006275CF"/>
    <w:rsid w:val="00627E5D"/>
    <w:rsid w:val="00631E0F"/>
    <w:rsid w:val="006416EB"/>
    <w:rsid w:val="00652DD9"/>
    <w:rsid w:val="00654FA8"/>
    <w:rsid w:val="00660C2F"/>
    <w:rsid w:val="00664024"/>
    <w:rsid w:val="00667216"/>
    <w:rsid w:val="00681047"/>
    <w:rsid w:val="00681A80"/>
    <w:rsid w:val="006B0EE1"/>
    <w:rsid w:val="006B7275"/>
    <w:rsid w:val="006C03FC"/>
    <w:rsid w:val="006C7C9E"/>
    <w:rsid w:val="006D72E3"/>
    <w:rsid w:val="006D7DF0"/>
    <w:rsid w:val="006E0A1F"/>
    <w:rsid w:val="006F3BCF"/>
    <w:rsid w:val="006F4E5D"/>
    <w:rsid w:val="006F6B07"/>
    <w:rsid w:val="00704C5F"/>
    <w:rsid w:val="00705A5A"/>
    <w:rsid w:val="00706087"/>
    <w:rsid w:val="00706768"/>
    <w:rsid w:val="00713AEE"/>
    <w:rsid w:val="007177F0"/>
    <w:rsid w:val="00717EC0"/>
    <w:rsid w:val="00724D04"/>
    <w:rsid w:val="00730B02"/>
    <w:rsid w:val="00734477"/>
    <w:rsid w:val="00742799"/>
    <w:rsid w:val="00743ADD"/>
    <w:rsid w:val="0074652B"/>
    <w:rsid w:val="00750BCF"/>
    <w:rsid w:val="007637D1"/>
    <w:rsid w:val="00766BA2"/>
    <w:rsid w:val="00767498"/>
    <w:rsid w:val="0077456D"/>
    <w:rsid w:val="0077610F"/>
    <w:rsid w:val="00780AD5"/>
    <w:rsid w:val="00781CEF"/>
    <w:rsid w:val="00785769"/>
    <w:rsid w:val="00794F0E"/>
    <w:rsid w:val="00795469"/>
    <w:rsid w:val="00795892"/>
    <w:rsid w:val="00795BD0"/>
    <w:rsid w:val="007971A4"/>
    <w:rsid w:val="007A0568"/>
    <w:rsid w:val="007A65CC"/>
    <w:rsid w:val="007C36CD"/>
    <w:rsid w:val="007C3A28"/>
    <w:rsid w:val="007C5A00"/>
    <w:rsid w:val="007D624B"/>
    <w:rsid w:val="007E28AB"/>
    <w:rsid w:val="007E5CBE"/>
    <w:rsid w:val="007E7C35"/>
    <w:rsid w:val="007F3AE8"/>
    <w:rsid w:val="007F786E"/>
    <w:rsid w:val="008002E6"/>
    <w:rsid w:val="008002F2"/>
    <w:rsid w:val="0080133F"/>
    <w:rsid w:val="008046C8"/>
    <w:rsid w:val="00804F72"/>
    <w:rsid w:val="00806A0C"/>
    <w:rsid w:val="00812B64"/>
    <w:rsid w:val="0081623A"/>
    <w:rsid w:val="00823CDC"/>
    <w:rsid w:val="00834BE7"/>
    <w:rsid w:val="008413B9"/>
    <w:rsid w:val="00843F65"/>
    <w:rsid w:val="00846981"/>
    <w:rsid w:val="008506FD"/>
    <w:rsid w:val="00857C47"/>
    <w:rsid w:val="00857DF4"/>
    <w:rsid w:val="00862B93"/>
    <w:rsid w:val="00872B2C"/>
    <w:rsid w:val="00875EAE"/>
    <w:rsid w:val="00876239"/>
    <w:rsid w:val="00880449"/>
    <w:rsid w:val="008808B6"/>
    <w:rsid w:val="00886696"/>
    <w:rsid w:val="00891076"/>
    <w:rsid w:val="00891D71"/>
    <w:rsid w:val="00894BDD"/>
    <w:rsid w:val="00897D0D"/>
    <w:rsid w:val="008A4EE0"/>
    <w:rsid w:val="008A795F"/>
    <w:rsid w:val="008B0ED1"/>
    <w:rsid w:val="008B5FDC"/>
    <w:rsid w:val="008C019F"/>
    <w:rsid w:val="008D1715"/>
    <w:rsid w:val="008D258E"/>
    <w:rsid w:val="008D2E48"/>
    <w:rsid w:val="008D3501"/>
    <w:rsid w:val="008E14E4"/>
    <w:rsid w:val="008E22CA"/>
    <w:rsid w:val="008E4ABF"/>
    <w:rsid w:val="008E5E85"/>
    <w:rsid w:val="008F1A11"/>
    <w:rsid w:val="008F7D0E"/>
    <w:rsid w:val="00901C24"/>
    <w:rsid w:val="00901FE4"/>
    <w:rsid w:val="00905F6C"/>
    <w:rsid w:val="00910A3F"/>
    <w:rsid w:val="00912FCB"/>
    <w:rsid w:val="009226C0"/>
    <w:rsid w:val="00924BBD"/>
    <w:rsid w:val="009322F0"/>
    <w:rsid w:val="00935F8D"/>
    <w:rsid w:val="00940A73"/>
    <w:rsid w:val="00940DC8"/>
    <w:rsid w:val="009425D2"/>
    <w:rsid w:val="0094401B"/>
    <w:rsid w:val="00950880"/>
    <w:rsid w:val="00951C91"/>
    <w:rsid w:val="00955175"/>
    <w:rsid w:val="0095534F"/>
    <w:rsid w:val="009616C5"/>
    <w:rsid w:val="00962CEF"/>
    <w:rsid w:val="00964C11"/>
    <w:rsid w:val="009713CE"/>
    <w:rsid w:val="00971913"/>
    <w:rsid w:val="00974054"/>
    <w:rsid w:val="00985BF5"/>
    <w:rsid w:val="009928DF"/>
    <w:rsid w:val="00993BBC"/>
    <w:rsid w:val="00994071"/>
    <w:rsid w:val="009950CD"/>
    <w:rsid w:val="009A3086"/>
    <w:rsid w:val="009B18DC"/>
    <w:rsid w:val="009B1C93"/>
    <w:rsid w:val="009B27D8"/>
    <w:rsid w:val="009B524A"/>
    <w:rsid w:val="009C11CE"/>
    <w:rsid w:val="009C3405"/>
    <w:rsid w:val="009C4942"/>
    <w:rsid w:val="009C663A"/>
    <w:rsid w:val="009C6894"/>
    <w:rsid w:val="009D209B"/>
    <w:rsid w:val="009D2CC7"/>
    <w:rsid w:val="009D3DDB"/>
    <w:rsid w:val="009F0E97"/>
    <w:rsid w:val="009F384E"/>
    <w:rsid w:val="009F3A1B"/>
    <w:rsid w:val="009F742E"/>
    <w:rsid w:val="00A00E85"/>
    <w:rsid w:val="00A03B40"/>
    <w:rsid w:val="00A06A40"/>
    <w:rsid w:val="00A165AC"/>
    <w:rsid w:val="00A20B26"/>
    <w:rsid w:val="00A25338"/>
    <w:rsid w:val="00A33601"/>
    <w:rsid w:val="00A35E7A"/>
    <w:rsid w:val="00A36D01"/>
    <w:rsid w:val="00A36F65"/>
    <w:rsid w:val="00A41AC4"/>
    <w:rsid w:val="00A521AA"/>
    <w:rsid w:val="00A533F3"/>
    <w:rsid w:val="00A574AE"/>
    <w:rsid w:val="00A576CE"/>
    <w:rsid w:val="00A57D72"/>
    <w:rsid w:val="00A57FEF"/>
    <w:rsid w:val="00A6005F"/>
    <w:rsid w:val="00A63000"/>
    <w:rsid w:val="00A77A7F"/>
    <w:rsid w:val="00A80B5C"/>
    <w:rsid w:val="00A83F53"/>
    <w:rsid w:val="00A87660"/>
    <w:rsid w:val="00A87898"/>
    <w:rsid w:val="00A922A9"/>
    <w:rsid w:val="00A95228"/>
    <w:rsid w:val="00AA0520"/>
    <w:rsid w:val="00AA47D0"/>
    <w:rsid w:val="00AA53F3"/>
    <w:rsid w:val="00AB0856"/>
    <w:rsid w:val="00AB1BE6"/>
    <w:rsid w:val="00AB3973"/>
    <w:rsid w:val="00AC2892"/>
    <w:rsid w:val="00AC2EF7"/>
    <w:rsid w:val="00AC3AB0"/>
    <w:rsid w:val="00AC44D1"/>
    <w:rsid w:val="00AD0EA0"/>
    <w:rsid w:val="00AD3D42"/>
    <w:rsid w:val="00AD619D"/>
    <w:rsid w:val="00AD7EE0"/>
    <w:rsid w:val="00AE4839"/>
    <w:rsid w:val="00AF0B43"/>
    <w:rsid w:val="00AF6D78"/>
    <w:rsid w:val="00B1218B"/>
    <w:rsid w:val="00B1272C"/>
    <w:rsid w:val="00B1318F"/>
    <w:rsid w:val="00B135BC"/>
    <w:rsid w:val="00B1507E"/>
    <w:rsid w:val="00B15B7E"/>
    <w:rsid w:val="00B21619"/>
    <w:rsid w:val="00B230EE"/>
    <w:rsid w:val="00B32064"/>
    <w:rsid w:val="00B35642"/>
    <w:rsid w:val="00B5441B"/>
    <w:rsid w:val="00B5441C"/>
    <w:rsid w:val="00B60F89"/>
    <w:rsid w:val="00B61306"/>
    <w:rsid w:val="00B63F47"/>
    <w:rsid w:val="00B64E4D"/>
    <w:rsid w:val="00B74696"/>
    <w:rsid w:val="00B75520"/>
    <w:rsid w:val="00B93AE6"/>
    <w:rsid w:val="00B94DEE"/>
    <w:rsid w:val="00BA262D"/>
    <w:rsid w:val="00BA2E03"/>
    <w:rsid w:val="00BA48B7"/>
    <w:rsid w:val="00BA799D"/>
    <w:rsid w:val="00BB3AC9"/>
    <w:rsid w:val="00BC61EA"/>
    <w:rsid w:val="00BD51F0"/>
    <w:rsid w:val="00BE25EC"/>
    <w:rsid w:val="00BE366F"/>
    <w:rsid w:val="00BF1DC8"/>
    <w:rsid w:val="00C17DB3"/>
    <w:rsid w:val="00C21297"/>
    <w:rsid w:val="00C319E7"/>
    <w:rsid w:val="00C32157"/>
    <w:rsid w:val="00C62367"/>
    <w:rsid w:val="00C6272E"/>
    <w:rsid w:val="00C74C0F"/>
    <w:rsid w:val="00C76D8C"/>
    <w:rsid w:val="00C90CD1"/>
    <w:rsid w:val="00C931AE"/>
    <w:rsid w:val="00C93473"/>
    <w:rsid w:val="00CA13BA"/>
    <w:rsid w:val="00CA6301"/>
    <w:rsid w:val="00CA74F3"/>
    <w:rsid w:val="00CB0E43"/>
    <w:rsid w:val="00CB2D6F"/>
    <w:rsid w:val="00CB7ECE"/>
    <w:rsid w:val="00CC560B"/>
    <w:rsid w:val="00CD017C"/>
    <w:rsid w:val="00CD63BE"/>
    <w:rsid w:val="00CE0E95"/>
    <w:rsid w:val="00CF0EFD"/>
    <w:rsid w:val="00CF22E8"/>
    <w:rsid w:val="00CF2D55"/>
    <w:rsid w:val="00CF57EF"/>
    <w:rsid w:val="00CF686F"/>
    <w:rsid w:val="00D031AE"/>
    <w:rsid w:val="00D05313"/>
    <w:rsid w:val="00D07F82"/>
    <w:rsid w:val="00D16492"/>
    <w:rsid w:val="00D16D87"/>
    <w:rsid w:val="00D202B0"/>
    <w:rsid w:val="00D235A8"/>
    <w:rsid w:val="00D244D1"/>
    <w:rsid w:val="00D265D0"/>
    <w:rsid w:val="00D31408"/>
    <w:rsid w:val="00D337B3"/>
    <w:rsid w:val="00D47E90"/>
    <w:rsid w:val="00D5261A"/>
    <w:rsid w:val="00D63D9D"/>
    <w:rsid w:val="00D64C1A"/>
    <w:rsid w:val="00D65837"/>
    <w:rsid w:val="00D77E8D"/>
    <w:rsid w:val="00D8640F"/>
    <w:rsid w:val="00D94F09"/>
    <w:rsid w:val="00D97074"/>
    <w:rsid w:val="00D97FED"/>
    <w:rsid w:val="00DA7CE3"/>
    <w:rsid w:val="00DB24C8"/>
    <w:rsid w:val="00DC2F7E"/>
    <w:rsid w:val="00DD09F6"/>
    <w:rsid w:val="00DD5390"/>
    <w:rsid w:val="00DE354B"/>
    <w:rsid w:val="00E03E72"/>
    <w:rsid w:val="00E11825"/>
    <w:rsid w:val="00E133CC"/>
    <w:rsid w:val="00E2338A"/>
    <w:rsid w:val="00E23852"/>
    <w:rsid w:val="00E32090"/>
    <w:rsid w:val="00E36294"/>
    <w:rsid w:val="00E368E4"/>
    <w:rsid w:val="00E50796"/>
    <w:rsid w:val="00E6160B"/>
    <w:rsid w:val="00E63C24"/>
    <w:rsid w:val="00E731F7"/>
    <w:rsid w:val="00E75E43"/>
    <w:rsid w:val="00E80470"/>
    <w:rsid w:val="00E911C8"/>
    <w:rsid w:val="00EA0643"/>
    <w:rsid w:val="00EA21D2"/>
    <w:rsid w:val="00EA4699"/>
    <w:rsid w:val="00EA7BEB"/>
    <w:rsid w:val="00EB1E0A"/>
    <w:rsid w:val="00EB6392"/>
    <w:rsid w:val="00EC144A"/>
    <w:rsid w:val="00ED1523"/>
    <w:rsid w:val="00ED2271"/>
    <w:rsid w:val="00ED398C"/>
    <w:rsid w:val="00ED5B5C"/>
    <w:rsid w:val="00EE38E7"/>
    <w:rsid w:val="00EE39B8"/>
    <w:rsid w:val="00EE4C50"/>
    <w:rsid w:val="00EE4D4B"/>
    <w:rsid w:val="00EF11F9"/>
    <w:rsid w:val="00F036DC"/>
    <w:rsid w:val="00F043F4"/>
    <w:rsid w:val="00F062D3"/>
    <w:rsid w:val="00F2177C"/>
    <w:rsid w:val="00F31F52"/>
    <w:rsid w:val="00F37195"/>
    <w:rsid w:val="00F41E94"/>
    <w:rsid w:val="00F43997"/>
    <w:rsid w:val="00F52432"/>
    <w:rsid w:val="00F53D30"/>
    <w:rsid w:val="00F5779E"/>
    <w:rsid w:val="00F600F4"/>
    <w:rsid w:val="00F60780"/>
    <w:rsid w:val="00F6419B"/>
    <w:rsid w:val="00F8330F"/>
    <w:rsid w:val="00F85145"/>
    <w:rsid w:val="00F876C3"/>
    <w:rsid w:val="00F92206"/>
    <w:rsid w:val="00F927C3"/>
    <w:rsid w:val="00FC0353"/>
    <w:rsid w:val="00FD5249"/>
    <w:rsid w:val="00FD6E45"/>
    <w:rsid w:val="00FF5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5DB9E"/>
  <w15:chartTrackingRefBased/>
  <w15:docId w15:val="{07DA73F0-CD2E-40DF-93B8-E92886A5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A5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22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CB0E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E43"/>
  </w:style>
  <w:style w:type="paragraph" w:styleId="Footer">
    <w:name w:val="footer"/>
    <w:basedOn w:val="Normal"/>
    <w:link w:val="FooterChar"/>
    <w:uiPriority w:val="99"/>
    <w:unhideWhenUsed/>
    <w:rsid w:val="00CB0E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E43"/>
  </w:style>
  <w:style w:type="paragraph" w:styleId="BalloonText">
    <w:name w:val="Balloon Text"/>
    <w:basedOn w:val="Normal"/>
    <w:link w:val="BalloonTextChar"/>
    <w:uiPriority w:val="99"/>
    <w:semiHidden/>
    <w:unhideWhenUsed/>
    <w:rsid w:val="00CB0E4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0E43"/>
    <w:rPr>
      <w:rFonts w:ascii="Tahoma" w:hAnsi="Tahoma" w:cs="Tahoma"/>
      <w:sz w:val="16"/>
      <w:szCs w:val="16"/>
    </w:rPr>
  </w:style>
  <w:style w:type="character" w:styleId="Hyperlink">
    <w:name w:val="Hyperlink"/>
    <w:uiPriority w:val="99"/>
    <w:unhideWhenUsed/>
    <w:rsid w:val="002F3013"/>
    <w:rPr>
      <w:color w:val="0000FF"/>
      <w:u w:val="single"/>
    </w:rPr>
  </w:style>
  <w:style w:type="paragraph" w:styleId="ListParagraph">
    <w:name w:val="List Paragraph"/>
    <w:basedOn w:val="Normal"/>
    <w:uiPriority w:val="34"/>
    <w:qFormat/>
    <w:rsid w:val="003C4D64"/>
    <w:pPr>
      <w:ind w:left="720"/>
      <w:contextualSpacing/>
    </w:pPr>
  </w:style>
  <w:style w:type="character" w:styleId="CommentReference">
    <w:name w:val="annotation reference"/>
    <w:uiPriority w:val="99"/>
    <w:semiHidden/>
    <w:unhideWhenUsed/>
    <w:rsid w:val="00C90CD1"/>
    <w:rPr>
      <w:sz w:val="16"/>
      <w:szCs w:val="16"/>
    </w:rPr>
  </w:style>
  <w:style w:type="paragraph" w:styleId="CommentText">
    <w:name w:val="annotation text"/>
    <w:basedOn w:val="Normal"/>
    <w:link w:val="CommentTextChar"/>
    <w:uiPriority w:val="99"/>
    <w:semiHidden/>
    <w:unhideWhenUsed/>
    <w:rsid w:val="00C90CD1"/>
    <w:rPr>
      <w:sz w:val="20"/>
      <w:szCs w:val="20"/>
    </w:rPr>
  </w:style>
  <w:style w:type="character" w:customStyle="1" w:styleId="CommentTextChar">
    <w:name w:val="Comment Text Char"/>
    <w:basedOn w:val="DefaultParagraphFont"/>
    <w:link w:val="CommentText"/>
    <w:uiPriority w:val="99"/>
    <w:semiHidden/>
    <w:rsid w:val="00C90CD1"/>
  </w:style>
  <w:style w:type="paragraph" w:styleId="CommentSubject">
    <w:name w:val="annotation subject"/>
    <w:basedOn w:val="CommentText"/>
    <w:next w:val="CommentText"/>
    <w:link w:val="CommentSubjectChar"/>
    <w:uiPriority w:val="99"/>
    <w:semiHidden/>
    <w:unhideWhenUsed/>
    <w:rsid w:val="00C90CD1"/>
    <w:rPr>
      <w:b/>
      <w:bCs/>
    </w:rPr>
  </w:style>
  <w:style w:type="character" w:customStyle="1" w:styleId="CommentSubjectChar">
    <w:name w:val="Comment Subject Char"/>
    <w:link w:val="CommentSubject"/>
    <w:uiPriority w:val="99"/>
    <w:semiHidden/>
    <w:rsid w:val="00C90CD1"/>
    <w:rPr>
      <w:b/>
      <w:bCs/>
    </w:rPr>
  </w:style>
  <w:style w:type="paragraph" w:styleId="NormalWeb">
    <w:name w:val="Normal (Web)"/>
    <w:basedOn w:val="Normal"/>
    <w:uiPriority w:val="99"/>
    <w:semiHidden/>
    <w:unhideWhenUsed/>
    <w:rsid w:val="001B1231"/>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1B12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92002">
      <w:bodyDiv w:val="1"/>
      <w:marLeft w:val="0"/>
      <w:marRight w:val="0"/>
      <w:marTop w:val="0"/>
      <w:marBottom w:val="0"/>
      <w:divBdr>
        <w:top w:val="none" w:sz="0" w:space="0" w:color="auto"/>
        <w:left w:val="none" w:sz="0" w:space="0" w:color="auto"/>
        <w:bottom w:val="none" w:sz="0" w:space="0" w:color="auto"/>
        <w:right w:val="none" w:sz="0" w:space="0" w:color="auto"/>
      </w:divBdr>
    </w:div>
    <w:div w:id="571282238">
      <w:bodyDiv w:val="1"/>
      <w:marLeft w:val="0"/>
      <w:marRight w:val="0"/>
      <w:marTop w:val="0"/>
      <w:marBottom w:val="0"/>
      <w:divBdr>
        <w:top w:val="none" w:sz="0" w:space="0" w:color="auto"/>
        <w:left w:val="none" w:sz="0" w:space="0" w:color="auto"/>
        <w:bottom w:val="none" w:sz="0" w:space="0" w:color="auto"/>
        <w:right w:val="none" w:sz="0" w:space="0" w:color="auto"/>
      </w:divBdr>
    </w:div>
    <w:div w:id="179112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678</Words>
  <Characters>3867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POLICY</vt:lpstr>
    </vt:vector>
  </TitlesOfParts>
  <Company>MSCC</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subject/>
  <dc:creator>pvernon</dc:creator>
  <cp:keywords/>
  <cp:lastModifiedBy>Sondra Howell</cp:lastModifiedBy>
  <cp:revision>3</cp:revision>
  <cp:lastPrinted>2016-05-16T16:19:00Z</cp:lastPrinted>
  <dcterms:created xsi:type="dcterms:W3CDTF">2025-02-18T11:32:00Z</dcterms:created>
  <dcterms:modified xsi:type="dcterms:W3CDTF">2025-02-18T11:32:00Z</dcterms:modified>
</cp:coreProperties>
</file>