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E75D" w14:textId="2F2320BB" w:rsidR="00A40271" w:rsidRDefault="00A40271" w:rsidP="00A40271">
      <w:r>
        <w:t xml:space="preserve">PURPOSE: To comply with federal requirements and protect an individual's personal information against fraud and identity theft, this Policy implements reasonable and appropriate measures that </w:t>
      </w:r>
      <w:r w:rsidR="008F345D">
        <w:t xml:space="preserve">all </w:t>
      </w:r>
      <w:r>
        <w:t xml:space="preserve">staff must follow to protect against the loss, misuse and alteration of personally identifiable information ("PII") and other sensitive information under </w:t>
      </w:r>
      <w:r w:rsidR="00032F2B">
        <w:t>the Greater Memphis Local Workforce Development Board’s (GMLWDB)</w:t>
      </w:r>
      <w:r>
        <w:t xml:space="preserve"> control.</w:t>
      </w:r>
    </w:p>
    <w:p w14:paraId="728BB050" w14:textId="77777777" w:rsidR="00A40271" w:rsidRDefault="00A40271" w:rsidP="00A40271">
      <w:r>
        <w:t>REFERENCE(S):</w:t>
      </w:r>
    </w:p>
    <w:p w14:paraId="05FD81FE" w14:textId="77777777" w:rsidR="00A40271" w:rsidRDefault="00A40271" w:rsidP="00A40271">
      <w:r>
        <w:t>APPLICABLE STATUTES, REGULATIONS, AND GUIDANCE:</w:t>
      </w:r>
    </w:p>
    <w:p w14:paraId="21E1EB44" w14:textId="77777777" w:rsidR="00A40271" w:rsidRDefault="00A40271" w:rsidP="008F345D">
      <w:pPr>
        <w:ind w:left="720" w:hanging="720"/>
        <w:contextualSpacing/>
      </w:pPr>
      <w:r>
        <w:t>A.</w:t>
      </w:r>
      <w:r>
        <w:tab/>
        <w:t>U.S. Employment and Training Administration, Training and Employment Guidance Letter No. 39-11 (June 28, 2012);</w:t>
      </w:r>
    </w:p>
    <w:p w14:paraId="730B6558" w14:textId="77777777" w:rsidR="00A40271" w:rsidRDefault="00A40271" w:rsidP="008F345D">
      <w:pPr>
        <w:contextualSpacing/>
      </w:pPr>
      <w:r>
        <w:t>B.</w:t>
      </w:r>
      <w:r>
        <w:tab/>
        <w:t>Privacy Act of 1974 (the Privacy Act);</w:t>
      </w:r>
    </w:p>
    <w:p w14:paraId="173BD26A" w14:textId="77777777" w:rsidR="00A40271" w:rsidRDefault="00A40271" w:rsidP="008F345D">
      <w:pPr>
        <w:contextualSpacing/>
      </w:pPr>
      <w:r>
        <w:t>C.</w:t>
      </w:r>
      <w:r>
        <w:tab/>
        <w:t>Federal Information Security Management Act (FISMA);</w:t>
      </w:r>
    </w:p>
    <w:p w14:paraId="6D03E048" w14:textId="77777777" w:rsidR="00A40271" w:rsidRDefault="00A40271" w:rsidP="008F345D">
      <w:pPr>
        <w:contextualSpacing/>
      </w:pPr>
      <w:r>
        <w:t>D.</w:t>
      </w:r>
      <w:r>
        <w:tab/>
        <w:t>0MB M-06-15 Safeguarding Personally Identifiable Information (May 22, 2006);</w:t>
      </w:r>
    </w:p>
    <w:p w14:paraId="48C017B4" w14:textId="77777777" w:rsidR="00A40271" w:rsidRDefault="00A40271" w:rsidP="008F345D">
      <w:pPr>
        <w:ind w:left="720" w:hanging="720"/>
        <w:contextualSpacing/>
      </w:pPr>
      <w:r>
        <w:t>E.</w:t>
      </w:r>
      <w:r>
        <w:tab/>
        <w:t>0MB M-06-19 Reporting Incidents Involving Personally Identifiable Information and Incorporating the Cost for Security in Agency Information Technology Investments (July 12, 2006);</w:t>
      </w:r>
    </w:p>
    <w:p w14:paraId="0C5A1D73" w14:textId="77777777" w:rsidR="00A40271" w:rsidRDefault="00A40271" w:rsidP="008F345D">
      <w:pPr>
        <w:ind w:left="720" w:hanging="720"/>
        <w:contextualSpacing/>
      </w:pPr>
      <w:r>
        <w:t>F.</w:t>
      </w:r>
      <w:r>
        <w:tab/>
        <w:t>Combating Identity Theft: A Strategic Plan (President's Task Force on Identity Theft, May 10, 2006 (www.idtheft.gov);</w:t>
      </w:r>
    </w:p>
    <w:p w14:paraId="78287C12" w14:textId="77777777" w:rsidR="00A40271" w:rsidRDefault="00A40271" w:rsidP="008F345D">
      <w:pPr>
        <w:ind w:left="720" w:hanging="720"/>
        <w:contextualSpacing/>
      </w:pPr>
      <w:r>
        <w:t>G.</w:t>
      </w:r>
      <w:r>
        <w:tab/>
        <w:t>0MB M-07-16 Safeguarding Against and Responding to the Breach of Personally Identifiable Information (May 22, 2007);</w:t>
      </w:r>
    </w:p>
    <w:p w14:paraId="442CC0B1" w14:textId="77777777" w:rsidR="00A40271" w:rsidRDefault="00A40271" w:rsidP="008F345D">
      <w:pPr>
        <w:contextualSpacing/>
      </w:pPr>
      <w:r>
        <w:t>H.</w:t>
      </w:r>
      <w:r>
        <w:tab/>
        <w:t>NIST SP 800-122 Guide to Protecting the Confidentiality of PII (April 2010);</w:t>
      </w:r>
    </w:p>
    <w:p w14:paraId="03E90D69" w14:textId="77777777" w:rsidR="00A40271" w:rsidRDefault="00A40271" w:rsidP="008F345D">
      <w:pPr>
        <w:ind w:left="720" w:hanging="720"/>
        <w:contextualSpacing/>
      </w:pPr>
      <w:r>
        <w:t>I.</w:t>
      </w:r>
      <w:r>
        <w:tab/>
        <w:t>Tennessee Identity Theft Deterrence Act of 1999, codified at Tenn. Code Ann. §47-18- 2101 et seq.</w:t>
      </w:r>
    </w:p>
    <w:p w14:paraId="1EB43715" w14:textId="77777777" w:rsidR="00A40271" w:rsidRDefault="00A40271" w:rsidP="00A40271"/>
    <w:p w14:paraId="1FBBC365" w14:textId="717A48A7" w:rsidR="00D40325" w:rsidRDefault="00043E87" w:rsidP="00D40325">
      <w:r>
        <w:t xml:space="preserve">The </w:t>
      </w:r>
      <w:r w:rsidR="00D40325">
        <w:t>GMLWDB is a proud partner of the American Job Center network, is an Equal Opportunity Employer. The Career Center System is an Employer/Equal Opportunity Program. Auxiliary aids and services are available upon request to individuals with disabilities. TTY: l-800-848-0299</w:t>
      </w:r>
    </w:p>
    <w:p w14:paraId="655A424D" w14:textId="77777777" w:rsidR="00D40325" w:rsidRDefault="00D40325" w:rsidP="00A40271"/>
    <w:p w14:paraId="0654A61C" w14:textId="77777777" w:rsidR="00D40325" w:rsidRDefault="00D40325" w:rsidP="00A40271"/>
    <w:p w14:paraId="7863E6B9" w14:textId="752949CA" w:rsidR="00A40271" w:rsidRDefault="00A40271" w:rsidP="00A40271">
      <w:r>
        <w:lastRenderedPageBreak/>
        <w:t xml:space="preserve">As part of its grant activities, </w:t>
      </w:r>
      <w:r w:rsidR="00032F2B">
        <w:t xml:space="preserve">the </w:t>
      </w:r>
      <w:r w:rsidR="00000F8E">
        <w:t xml:space="preserve">Greater Memphis Chamber </w:t>
      </w:r>
      <w:r w:rsidR="00060A9B">
        <w:t xml:space="preserve">(GMC) </w:t>
      </w:r>
      <w:r w:rsidR="00000F8E">
        <w:t xml:space="preserve">staff on behalf of the </w:t>
      </w:r>
      <w:r>
        <w:t>GMLWD</w:t>
      </w:r>
      <w:r w:rsidR="00032F2B">
        <w:t>B</w:t>
      </w:r>
      <w:r>
        <w:t xml:space="preserve"> </w:t>
      </w:r>
      <w:r w:rsidR="0093149B">
        <w:t xml:space="preserve">only </w:t>
      </w:r>
      <w:r>
        <w:t>collect</w:t>
      </w:r>
      <w:r w:rsidR="0093149B">
        <w:t>s</w:t>
      </w:r>
      <w:r>
        <w:t xml:space="preserve"> </w:t>
      </w:r>
      <w:r w:rsidR="009922AE">
        <w:t>and/</w:t>
      </w:r>
      <w:r>
        <w:t>or handle</w:t>
      </w:r>
      <w:r w:rsidR="009922AE">
        <w:t>s</w:t>
      </w:r>
      <w:r>
        <w:t xml:space="preserve"> personally</w:t>
      </w:r>
      <w:r w:rsidR="00032F2B">
        <w:t xml:space="preserve"> </w:t>
      </w:r>
      <w:r>
        <w:t>identifiable information ("PII") relating to staff; subgrantee and partner organizations and staff; and individual program participants</w:t>
      </w:r>
      <w:r w:rsidR="00AE017B">
        <w:t xml:space="preserve"> </w:t>
      </w:r>
      <w:r w:rsidR="00DC4687">
        <w:t>as</w:t>
      </w:r>
      <w:r w:rsidR="00AE017B">
        <w:t xml:space="preserve"> </w:t>
      </w:r>
      <w:r w:rsidR="00E350CC">
        <w:t xml:space="preserve">is required by </w:t>
      </w:r>
      <w:r w:rsidR="00AE017B">
        <w:t>grant funded programs and activities</w:t>
      </w:r>
      <w:r>
        <w:t>. This information is generally found in personnel files, participant data sets, performance reports, program evaluations, grant and contract files, and other sources. The State of Tennessee and the federal government have issued laws and several rules, regulations, and guidelines pertaining to the privacy of information.</w:t>
      </w:r>
    </w:p>
    <w:p w14:paraId="233996C0" w14:textId="77777777" w:rsidR="00A40271" w:rsidRPr="00043E87" w:rsidRDefault="00A40271" w:rsidP="00A40271">
      <w:pPr>
        <w:rPr>
          <w:b/>
          <w:bCs/>
        </w:rPr>
      </w:pPr>
      <w:r w:rsidRPr="00043E87">
        <w:rPr>
          <w:b/>
          <w:bCs/>
        </w:rPr>
        <w:t>PRIVACY ACT NOTICE</w:t>
      </w:r>
    </w:p>
    <w:p w14:paraId="3C3002C5" w14:textId="7A29B711" w:rsidR="00A40271" w:rsidRDefault="00A40271" w:rsidP="00A40271">
      <w:r>
        <w:t xml:space="preserve">Federal and state laws require that </w:t>
      </w:r>
      <w:r w:rsidR="00546A9E">
        <w:t xml:space="preserve">this notice be </w:t>
      </w:r>
      <w:r>
        <w:t xml:space="preserve">furnished </w:t>
      </w:r>
      <w:r w:rsidR="00845742">
        <w:t xml:space="preserve">to anyone </w:t>
      </w:r>
      <w:r>
        <w:t xml:space="preserve">being asked to provide personal identifying information about </w:t>
      </w:r>
      <w:r w:rsidR="00845742">
        <w:t>themselves</w:t>
      </w:r>
      <w:r>
        <w:t>, including but not limited to name, social security number (SSN), date of birth, employment information, telephone number(s), address(es</w:t>
      </w:r>
      <w:proofErr w:type="gramStart"/>
      <w:r>
        <w:t>), income information</w:t>
      </w:r>
      <w:proofErr w:type="gramEnd"/>
      <w:r>
        <w:t xml:space="preserve">, the information needed for identification verification, and other personal information, necessary to complete the application for services offered by </w:t>
      </w:r>
      <w:r w:rsidR="00845742">
        <w:t>the GMLWDB</w:t>
      </w:r>
      <w:r>
        <w:t>.</w:t>
      </w:r>
    </w:p>
    <w:p w14:paraId="74D1FBEF" w14:textId="77777777" w:rsidR="00A40271" w:rsidRDefault="00A40271" w:rsidP="00A40271">
      <w:r>
        <w:t>Authority: The Workforce Innovation and Opportunity Act. Sections 101, 188(a)(5) and 189(h) of the Workforce Innovation and Opportunity Act provide that, in order to receive services pursuant to the WIOA, an individual must present proof of United States citizenship (or authorization to work in the United States), age, and where applicable, Military Selective Service Registration and documentation substantiating other program eligibility criteria</w:t>
      </w:r>
    </w:p>
    <w:p w14:paraId="3C733B85" w14:textId="77F1C437" w:rsidR="00A40271" w:rsidRDefault="00A40271" w:rsidP="00A40271">
      <w:r>
        <w:t xml:space="preserve">Purpose: </w:t>
      </w:r>
      <w:r w:rsidR="00845742">
        <w:t>P</w:t>
      </w:r>
      <w:r>
        <w:t xml:space="preserve">ersonal identifying information (including SSN) will be used by and disclosed to </w:t>
      </w:r>
      <w:r w:rsidR="000E3CCF">
        <w:t xml:space="preserve">GMC and GMWDB </w:t>
      </w:r>
      <w:r>
        <w:t>personnel, partners and contractors, or other agents who need the information to assist in activities related to The Workforce Innovation and Opportunity Act (WIOA) services.</w:t>
      </w:r>
    </w:p>
    <w:p w14:paraId="61B05438" w14:textId="17C220EE" w:rsidR="00A40271" w:rsidRDefault="00A40271" w:rsidP="00A40271">
      <w:r>
        <w:t>Routine Uses: SSN</w:t>
      </w:r>
      <w:r w:rsidR="000E3CCF">
        <w:t>s are</w:t>
      </w:r>
      <w:r>
        <w:t xml:space="preserve"> used to verify identity, and as an account number (identifier). The personal identifying information (including SSN) will be used for processing your application to determine eligibility for WIOA services. </w:t>
      </w:r>
      <w:r w:rsidR="000E3CCF">
        <w:t>P</w:t>
      </w:r>
      <w:r>
        <w:t xml:space="preserve">ersonal information will be disclosed to </w:t>
      </w:r>
      <w:r w:rsidR="002C43EE">
        <w:t>GMC and GMLWDB</w:t>
      </w:r>
      <w:r>
        <w:t xml:space="preserve"> contractors for purposes of administration of </w:t>
      </w:r>
      <w:r w:rsidR="002C43EE">
        <w:t xml:space="preserve">state and federally funded </w:t>
      </w:r>
      <w:r>
        <w:t>program</w:t>
      </w:r>
      <w:r w:rsidR="002C43EE">
        <w:t>s</w:t>
      </w:r>
      <w:r>
        <w:t>, for enforcement purposes, for use in connection with audits or other investigations. Also, SSN</w:t>
      </w:r>
      <w:r w:rsidR="002C43EE">
        <w:t>s</w:t>
      </w:r>
      <w:r>
        <w:t xml:space="preserve"> and other personal identifying information will be used to report services provided by </w:t>
      </w:r>
      <w:r w:rsidR="002C43EE">
        <w:t>the GMC and the GMLWDB</w:t>
      </w:r>
      <w:r>
        <w:t xml:space="preserve"> to the State of Tennessee Department of Labor and Workforce Development or other local, state, and/or federal </w:t>
      </w:r>
      <w:r>
        <w:lastRenderedPageBreak/>
        <w:t xml:space="preserve">government agencies. Your personal identifying information (including SSN) will be retained for as long </w:t>
      </w:r>
      <w:proofErr w:type="gramStart"/>
      <w:r>
        <w:t>as</w:t>
      </w:r>
      <w:proofErr w:type="gramEnd"/>
      <w:r>
        <w:t xml:space="preserve"> is required by applicable law or regulation.</w:t>
      </w:r>
    </w:p>
    <w:p w14:paraId="449BE600" w14:textId="77777777" w:rsidR="00A40271" w:rsidRDefault="00A40271" w:rsidP="00A40271">
      <w:r>
        <w:t>Disclosures: Your disclosure of this personal identifying information (including SSN) for this purpose is voluntary. However, your failure to provide the requested information may delay or prevent the processing of your application for WIOA services.</w:t>
      </w:r>
    </w:p>
    <w:p w14:paraId="66076E83" w14:textId="41BCC52A" w:rsidR="00A40271" w:rsidRDefault="004051AD" w:rsidP="00A40271">
      <w:r>
        <w:t xml:space="preserve">All </w:t>
      </w:r>
      <w:r w:rsidR="00461AF6">
        <w:t xml:space="preserve">recipients of services provided through </w:t>
      </w:r>
      <w:r w:rsidR="00683B67">
        <w:t>WIOA,</w:t>
      </w:r>
      <w:r w:rsidR="00461AF6">
        <w:t xml:space="preserve"> and the AJC will be asked to </w:t>
      </w:r>
      <w:r w:rsidR="00266084">
        <w:t xml:space="preserve">this </w:t>
      </w:r>
      <w:r w:rsidR="00683B67">
        <w:t>Privacy Act Notice</w:t>
      </w:r>
      <w:r w:rsidR="00266084">
        <w:t xml:space="preserve"> to</w:t>
      </w:r>
      <w:r w:rsidR="00A40271">
        <w:t xml:space="preserve"> certify that </w:t>
      </w:r>
      <w:r w:rsidR="00266084">
        <w:t xml:space="preserve">it has been </w:t>
      </w:r>
      <w:r w:rsidR="00A40271">
        <w:t xml:space="preserve">read and </w:t>
      </w:r>
      <w:r w:rsidR="00683B67">
        <w:t xml:space="preserve">is </w:t>
      </w:r>
      <w:r w:rsidR="00A40271">
        <w:t>understood</w:t>
      </w:r>
      <w:r w:rsidR="00683B67">
        <w:t xml:space="preserve">. </w:t>
      </w:r>
    </w:p>
    <w:p w14:paraId="46FEE355" w14:textId="77777777" w:rsidR="004051AD" w:rsidRDefault="004051AD" w:rsidP="004051AD">
      <w:pPr>
        <w:pStyle w:val="BodyText"/>
        <w:tabs>
          <w:tab w:val="left" w:pos="6650"/>
        </w:tabs>
        <w:spacing w:before="1"/>
        <w:ind w:left="229"/>
        <w:jc w:val="both"/>
      </w:pPr>
      <w:r>
        <w:rPr>
          <w:color w:val="393939"/>
          <w:w w:val="105"/>
        </w:rPr>
        <w:t>Printed Name:</w:t>
      </w:r>
      <w:r>
        <w:rPr>
          <w:color w:val="393939"/>
          <w:spacing w:val="401"/>
          <w:w w:val="105"/>
        </w:rPr>
        <w:t xml:space="preserve"> </w:t>
      </w:r>
      <w:r>
        <w:rPr>
          <w:color w:val="393939"/>
          <w:u w:val="single" w:color="000000"/>
        </w:rPr>
        <w:tab/>
      </w:r>
    </w:p>
    <w:p w14:paraId="3B6403AE" w14:textId="77777777" w:rsidR="004051AD" w:rsidRDefault="004051AD" w:rsidP="004051AD">
      <w:pPr>
        <w:pStyle w:val="BodyText"/>
      </w:pPr>
    </w:p>
    <w:p w14:paraId="06EDEED9" w14:textId="77777777" w:rsidR="004051AD" w:rsidRDefault="004051AD" w:rsidP="004051AD">
      <w:pPr>
        <w:pStyle w:val="BodyText"/>
        <w:spacing w:before="35"/>
      </w:pPr>
    </w:p>
    <w:p w14:paraId="70F0BCFE" w14:textId="77777777" w:rsidR="004051AD" w:rsidRDefault="004051AD" w:rsidP="004051AD">
      <w:pPr>
        <w:pStyle w:val="BodyText"/>
        <w:tabs>
          <w:tab w:val="left" w:pos="1948"/>
          <w:tab w:val="left" w:pos="6650"/>
        </w:tabs>
        <w:ind w:left="224"/>
      </w:pPr>
      <w:r>
        <w:rPr>
          <w:color w:val="393939"/>
          <w:spacing w:val="-2"/>
          <w:w w:val="105"/>
        </w:rPr>
        <w:t>Signature:</w:t>
      </w:r>
      <w:r>
        <w:rPr>
          <w:color w:val="393939"/>
        </w:rPr>
        <w:tab/>
      </w:r>
      <w:r>
        <w:rPr>
          <w:color w:val="393939"/>
          <w:u w:val="single" w:color="000000"/>
        </w:rPr>
        <w:tab/>
      </w:r>
    </w:p>
    <w:p w14:paraId="5E8F4506" w14:textId="77777777" w:rsidR="004051AD" w:rsidRDefault="004051AD" w:rsidP="004051AD">
      <w:pPr>
        <w:pStyle w:val="BodyText"/>
      </w:pPr>
    </w:p>
    <w:p w14:paraId="3957CE9F" w14:textId="77777777" w:rsidR="004051AD" w:rsidRDefault="004051AD" w:rsidP="004051AD">
      <w:pPr>
        <w:pStyle w:val="BodyText"/>
        <w:spacing w:before="96"/>
      </w:pPr>
    </w:p>
    <w:p w14:paraId="789E82A0" w14:textId="77777777" w:rsidR="004051AD" w:rsidRDefault="004051AD" w:rsidP="004051AD">
      <w:pPr>
        <w:pStyle w:val="BodyText"/>
        <w:tabs>
          <w:tab w:val="left" w:pos="1948"/>
          <w:tab w:val="left" w:pos="6650"/>
        </w:tabs>
        <w:ind w:left="234"/>
      </w:pPr>
      <w:r>
        <w:rPr>
          <w:color w:val="393939"/>
          <w:spacing w:val="-4"/>
          <w:w w:val="105"/>
        </w:rPr>
        <w:t>Date:</w:t>
      </w:r>
      <w:r>
        <w:rPr>
          <w:color w:val="393939"/>
        </w:rPr>
        <w:tab/>
      </w:r>
      <w:r>
        <w:rPr>
          <w:color w:val="393939"/>
          <w:u w:val="single" w:color="000000"/>
        </w:rPr>
        <w:tab/>
      </w:r>
    </w:p>
    <w:p w14:paraId="46277F71" w14:textId="77777777" w:rsidR="00A40271" w:rsidRDefault="00A40271" w:rsidP="00A40271"/>
    <w:p w14:paraId="7450E272" w14:textId="77777777" w:rsidR="00A40271" w:rsidRDefault="00A40271" w:rsidP="00A40271"/>
    <w:p w14:paraId="5E0C2BCB" w14:textId="77777777" w:rsidR="00A40271" w:rsidRDefault="00A40271" w:rsidP="00A40271"/>
    <w:p w14:paraId="1256FF67" w14:textId="18FAD0E9" w:rsidR="006B7275" w:rsidRPr="00A87898" w:rsidRDefault="00A40271" w:rsidP="00A40271">
      <w:r>
        <w:tab/>
      </w:r>
      <w:r>
        <w:tab/>
      </w:r>
    </w:p>
    <w:sectPr w:rsidR="006B7275" w:rsidRPr="00A87898"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6903" w14:textId="77777777" w:rsidR="00497327" w:rsidRDefault="00497327" w:rsidP="00CB0E43">
      <w:pPr>
        <w:spacing w:after="0" w:line="240" w:lineRule="auto"/>
      </w:pPr>
      <w:r>
        <w:separator/>
      </w:r>
    </w:p>
  </w:endnote>
  <w:endnote w:type="continuationSeparator" w:id="0">
    <w:p w14:paraId="08D12DEC" w14:textId="77777777" w:rsidR="00497327" w:rsidRDefault="00497327"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83866" w:rsidRDefault="00783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1C13" w14:textId="77777777" w:rsidR="00497327" w:rsidRDefault="00497327" w:rsidP="00CB0E43">
      <w:pPr>
        <w:spacing w:after="0" w:line="240" w:lineRule="auto"/>
      </w:pPr>
      <w:r>
        <w:separator/>
      </w:r>
    </w:p>
  </w:footnote>
  <w:footnote w:type="continuationSeparator" w:id="0">
    <w:p w14:paraId="6D2FA32C" w14:textId="77777777" w:rsidR="00497327" w:rsidRDefault="00497327"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314"/>
      <w:gridCol w:w="1710"/>
      <w:gridCol w:w="1476"/>
    </w:tblGrid>
    <w:tr w:rsidR="000555C7" w:rsidRPr="00F6419B" w14:paraId="4FC125E1" w14:textId="77777777" w:rsidTr="00DC468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314"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710"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476" w:type="dxa"/>
          <w:tcBorders>
            <w:top w:val="single" w:sz="12" w:space="0" w:color="auto"/>
            <w:left w:val="single" w:sz="12" w:space="0" w:color="auto"/>
            <w:bottom w:val="single" w:sz="12" w:space="0" w:color="auto"/>
            <w:right w:val="single" w:sz="12" w:space="0" w:color="auto"/>
          </w:tcBorders>
          <w:vAlign w:val="center"/>
        </w:tcPr>
        <w:p w14:paraId="21D6FD53" w14:textId="08E6F4AA" w:rsidR="000555C7" w:rsidRPr="00F6419B" w:rsidRDefault="00D05313" w:rsidP="0011469B">
          <w:pPr>
            <w:spacing w:after="0" w:line="240" w:lineRule="auto"/>
            <w:jc w:val="center"/>
          </w:pPr>
          <w:r>
            <w:t>1</w:t>
          </w:r>
        </w:p>
      </w:tc>
    </w:tr>
    <w:tr w:rsidR="000555C7" w:rsidRPr="00F6419B" w14:paraId="3D66F587" w14:textId="77777777" w:rsidTr="00DC468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314"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710"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476" w:type="dxa"/>
          <w:tcBorders>
            <w:top w:val="single" w:sz="12" w:space="0" w:color="auto"/>
            <w:left w:val="single" w:sz="12" w:space="0" w:color="auto"/>
            <w:right w:val="single" w:sz="12" w:space="0" w:color="auto"/>
          </w:tcBorders>
          <w:vAlign w:val="center"/>
        </w:tcPr>
        <w:p w14:paraId="1F5FE87E" w14:textId="5DD48A6B" w:rsidR="000555C7" w:rsidRPr="00F6419B" w:rsidRDefault="006572F7" w:rsidP="00F6419B">
          <w:pPr>
            <w:spacing w:after="0" w:line="240" w:lineRule="auto"/>
            <w:jc w:val="center"/>
          </w:pPr>
          <w:r>
            <w:t>Immediately</w:t>
          </w:r>
        </w:p>
      </w:tc>
    </w:tr>
    <w:tr w:rsidR="000555C7" w:rsidRPr="00F6419B" w14:paraId="75E0BD38" w14:textId="77777777" w:rsidTr="00DC468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314" w:type="dxa"/>
          <w:vMerge w:val="restart"/>
          <w:tcBorders>
            <w:top w:val="single" w:sz="12" w:space="0" w:color="auto"/>
            <w:left w:val="single" w:sz="12" w:space="0" w:color="auto"/>
            <w:right w:val="single" w:sz="12" w:space="0" w:color="auto"/>
          </w:tcBorders>
          <w:vAlign w:val="center"/>
        </w:tcPr>
        <w:p w14:paraId="6585FAC3" w14:textId="77777777" w:rsidR="007517FD" w:rsidRDefault="000555C7" w:rsidP="004832C9">
          <w:pPr>
            <w:spacing w:after="0" w:line="240" w:lineRule="auto"/>
            <w:jc w:val="center"/>
            <w:rPr>
              <w:b/>
              <w:bCs/>
            </w:rPr>
          </w:pPr>
          <w:r w:rsidRPr="00A165AC">
            <w:rPr>
              <w:b/>
              <w:bCs/>
            </w:rPr>
            <w:t xml:space="preserve">Subject: </w:t>
          </w:r>
        </w:p>
        <w:p w14:paraId="0F45C38F" w14:textId="012E3A7A" w:rsidR="00DC2F7E" w:rsidRDefault="00F43406" w:rsidP="004832C9">
          <w:pPr>
            <w:spacing w:after="0" w:line="240" w:lineRule="auto"/>
            <w:jc w:val="center"/>
            <w:rPr>
              <w:b/>
              <w:bCs/>
            </w:rPr>
          </w:pPr>
          <w:r w:rsidRPr="00F43406">
            <w:rPr>
              <w:b/>
              <w:bCs/>
            </w:rPr>
            <w:t>Handling and Protection of Personally Identifiable Information (PII)</w:t>
          </w:r>
        </w:p>
        <w:p w14:paraId="644100FE" w14:textId="152B9C1B" w:rsidR="000555C7" w:rsidRPr="00A165AC" w:rsidRDefault="000555C7" w:rsidP="004832C9">
          <w:pPr>
            <w:spacing w:after="0" w:line="240" w:lineRule="auto"/>
            <w:jc w:val="center"/>
            <w:rPr>
              <w:b/>
              <w:bCs/>
            </w:rPr>
          </w:pPr>
          <w:r w:rsidRPr="00A165AC">
            <w:rPr>
              <w:b/>
              <w:bCs/>
            </w:rPr>
            <w:t xml:space="preserve"> </w:t>
          </w:r>
        </w:p>
      </w:tc>
      <w:tc>
        <w:tcPr>
          <w:tcW w:w="1710"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476" w:type="dxa"/>
          <w:tcBorders>
            <w:top w:val="single" w:sz="12" w:space="0" w:color="auto"/>
            <w:left w:val="single" w:sz="12" w:space="0" w:color="auto"/>
            <w:bottom w:val="single" w:sz="8" w:space="0" w:color="auto"/>
            <w:right w:val="single" w:sz="12" w:space="0" w:color="auto"/>
          </w:tcBorders>
          <w:vAlign w:val="center"/>
        </w:tcPr>
        <w:p w14:paraId="446871C0" w14:textId="3EB3F1F5" w:rsidR="000555C7" w:rsidRPr="00F6419B" w:rsidRDefault="006572F7" w:rsidP="00F6419B">
          <w:pPr>
            <w:spacing w:after="0" w:line="240" w:lineRule="auto"/>
            <w:jc w:val="center"/>
          </w:pPr>
          <w:r>
            <w:t>N/A</w:t>
          </w:r>
        </w:p>
      </w:tc>
    </w:tr>
    <w:tr w:rsidR="000555C7" w:rsidRPr="00F6419B" w14:paraId="6B6AA606" w14:textId="77777777" w:rsidTr="00DC468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314"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710"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476" w:type="dxa"/>
          <w:tcBorders>
            <w:top w:val="single" w:sz="12" w:space="0" w:color="auto"/>
            <w:left w:val="single" w:sz="12" w:space="0" w:color="auto"/>
            <w:bottom w:val="single" w:sz="12" w:space="0" w:color="auto"/>
            <w:right w:val="single" w:sz="12" w:space="0" w:color="auto"/>
          </w:tcBorders>
          <w:vAlign w:val="center"/>
        </w:tcPr>
        <w:p w14:paraId="080CBAE5" w14:textId="7DB512C6" w:rsidR="000555C7" w:rsidRPr="00F6419B" w:rsidRDefault="007517FD" w:rsidP="00F6419B">
          <w:pPr>
            <w:spacing w:after="0" w:line="240" w:lineRule="auto"/>
            <w:jc w:val="center"/>
          </w:pPr>
          <w:r>
            <w:t xml:space="preserve"> </w:t>
          </w:r>
        </w:p>
      </w:tc>
    </w:tr>
  </w:tbl>
  <w:p w14:paraId="75703547" w14:textId="77777777" w:rsidR="000555C7" w:rsidRDefault="000555C7">
    <w:pPr>
      <w:pStyle w:val="Header"/>
    </w:pPr>
  </w:p>
  <w:p w14:paraId="4B471CA3" w14:textId="77777777" w:rsidR="00783866" w:rsidRDefault="007838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67F"/>
    <w:multiLevelType w:val="hybridMultilevel"/>
    <w:tmpl w:val="455A0D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D9A7C9B"/>
    <w:multiLevelType w:val="multilevel"/>
    <w:tmpl w:val="249CD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96FD5"/>
    <w:multiLevelType w:val="multilevel"/>
    <w:tmpl w:val="70BC719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73E664B"/>
    <w:multiLevelType w:val="hybridMultilevel"/>
    <w:tmpl w:val="C06A3B5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8DD16C8"/>
    <w:multiLevelType w:val="hybridMultilevel"/>
    <w:tmpl w:val="7BEE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5AF7"/>
    <w:multiLevelType w:val="hybridMultilevel"/>
    <w:tmpl w:val="ED1262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590E2A"/>
    <w:multiLevelType w:val="hybridMultilevel"/>
    <w:tmpl w:val="040EE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6625A"/>
    <w:multiLevelType w:val="hybridMultilevel"/>
    <w:tmpl w:val="E3584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5038"/>
    <w:multiLevelType w:val="multilevel"/>
    <w:tmpl w:val="5C4E9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B4752"/>
    <w:multiLevelType w:val="hybridMultilevel"/>
    <w:tmpl w:val="A5C61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C3ECD"/>
    <w:multiLevelType w:val="hybridMultilevel"/>
    <w:tmpl w:val="1AF0E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FB6"/>
    <w:multiLevelType w:val="multilevel"/>
    <w:tmpl w:val="C874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D0023"/>
    <w:multiLevelType w:val="multilevel"/>
    <w:tmpl w:val="C42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352C7"/>
    <w:multiLevelType w:val="multilevel"/>
    <w:tmpl w:val="D8BE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F96945"/>
    <w:multiLevelType w:val="hybridMultilevel"/>
    <w:tmpl w:val="7F96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85766"/>
    <w:multiLevelType w:val="hybridMultilevel"/>
    <w:tmpl w:val="B0CA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D661D"/>
    <w:multiLevelType w:val="hybridMultilevel"/>
    <w:tmpl w:val="46B04D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2F6B09"/>
    <w:multiLevelType w:val="hybridMultilevel"/>
    <w:tmpl w:val="FC18F208"/>
    <w:lvl w:ilvl="0" w:tplc="39A86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14F89"/>
    <w:multiLevelType w:val="hybridMultilevel"/>
    <w:tmpl w:val="894E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094A10"/>
    <w:multiLevelType w:val="multilevel"/>
    <w:tmpl w:val="361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72F5D"/>
    <w:multiLevelType w:val="hybridMultilevel"/>
    <w:tmpl w:val="70BC719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6B73A8"/>
    <w:multiLevelType w:val="hybridMultilevel"/>
    <w:tmpl w:val="4CB29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D3737D"/>
    <w:multiLevelType w:val="hybridMultilevel"/>
    <w:tmpl w:val="5CC20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B52008"/>
    <w:multiLevelType w:val="multilevel"/>
    <w:tmpl w:val="C06A3B52"/>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7DD4379"/>
    <w:multiLevelType w:val="hybridMultilevel"/>
    <w:tmpl w:val="4642D2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413E67"/>
    <w:multiLevelType w:val="hybridMultilevel"/>
    <w:tmpl w:val="22020F5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6" w15:restartNumberingAfterBreak="0">
    <w:nsid w:val="6ED76DE2"/>
    <w:multiLevelType w:val="multilevel"/>
    <w:tmpl w:val="9810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432399"/>
    <w:multiLevelType w:val="hybridMultilevel"/>
    <w:tmpl w:val="D7EC0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DC2A56"/>
    <w:multiLevelType w:val="hybridMultilevel"/>
    <w:tmpl w:val="D45A28EA"/>
    <w:lvl w:ilvl="0" w:tplc="04090001">
      <w:start w:val="1"/>
      <w:numFmt w:val="bullet"/>
      <w:lvlText w:val=""/>
      <w:lvlJc w:val="left"/>
      <w:pPr>
        <w:tabs>
          <w:tab w:val="num" w:pos="2224"/>
        </w:tabs>
        <w:ind w:left="2224" w:hanging="360"/>
      </w:pPr>
      <w:rPr>
        <w:rFonts w:ascii="Symbol" w:hAnsi="Symbol"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29" w15:restartNumberingAfterBreak="0">
    <w:nsid w:val="77D03709"/>
    <w:multiLevelType w:val="hybridMultilevel"/>
    <w:tmpl w:val="FBC093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C2F6C64"/>
    <w:multiLevelType w:val="multilevel"/>
    <w:tmpl w:val="F17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E432CA"/>
    <w:multiLevelType w:val="multilevel"/>
    <w:tmpl w:val="4E7A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17450">
    <w:abstractNumId w:val="22"/>
  </w:num>
  <w:num w:numId="2" w16cid:durableId="2129159234">
    <w:abstractNumId w:val="17"/>
  </w:num>
  <w:num w:numId="3" w16cid:durableId="2030062108">
    <w:abstractNumId w:val="0"/>
  </w:num>
  <w:num w:numId="4" w16cid:durableId="1320108778">
    <w:abstractNumId w:val="16"/>
  </w:num>
  <w:num w:numId="5" w16cid:durableId="2051563160">
    <w:abstractNumId w:val="28"/>
  </w:num>
  <w:num w:numId="6" w16cid:durableId="1906137685">
    <w:abstractNumId w:val="29"/>
  </w:num>
  <w:num w:numId="7" w16cid:durableId="576090082">
    <w:abstractNumId w:val="4"/>
  </w:num>
  <w:num w:numId="8" w16cid:durableId="1235625292">
    <w:abstractNumId w:val="7"/>
  </w:num>
  <w:num w:numId="9" w16cid:durableId="1425106446">
    <w:abstractNumId w:val="6"/>
  </w:num>
  <w:num w:numId="10" w16cid:durableId="872889556">
    <w:abstractNumId w:val="15"/>
  </w:num>
  <w:num w:numId="11" w16cid:durableId="1558466859">
    <w:abstractNumId w:val="10"/>
  </w:num>
  <w:num w:numId="12" w16cid:durableId="1096511751">
    <w:abstractNumId w:val="14"/>
  </w:num>
  <w:num w:numId="13" w16cid:durableId="1180506032">
    <w:abstractNumId w:val="18"/>
  </w:num>
  <w:num w:numId="14" w16cid:durableId="916983336">
    <w:abstractNumId w:val="25"/>
  </w:num>
  <w:num w:numId="15" w16cid:durableId="1267688960">
    <w:abstractNumId w:val="20"/>
  </w:num>
  <w:num w:numId="16" w16cid:durableId="1527907519">
    <w:abstractNumId w:val="2"/>
  </w:num>
  <w:num w:numId="17" w16cid:durableId="1079913090">
    <w:abstractNumId w:val="3"/>
  </w:num>
  <w:num w:numId="18" w16cid:durableId="816603175">
    <w:abstractNumId w:val="23"/>
  </w:num>
  <w:num w:numId="19" w16cid:durableId="1466462787">
    <w:abstractNumId w:val="5"/>
  </w:num>
  <w:num w:numId="20" w16cid:durableId="375398183">
    <w:abstractNumId w:val="27"/>
  </w:num>
  <w:num w:numId="21" w16cid:durableId="2093701172">
    <w:abstractNumId w:val="24"/>
  </w:num>
  <w:num w:numId="22" w16cid:durableId="1646621649">
    <w:abstractNumId w:val="21"/>
  </w:num>
  <w:num w:numId="23" w16cid:durableId="776411479">
    <w:abstractNumId w:val="9"/>
  </w:num>
  <w:num w:numId="24" w16cid:durableId="365567698">
    <w:abstractNumId w:val="31"/>
  </w:num>
  <w:num w:numId="25" w16cid:durableId="229199569">
    <w:abstractNumId w:val="12"/>
  </w:num>
  <w:num w:numId="26" w16cid:durableId="1690832473">
    <w:abstractNumId w:val="26"/>
  </w:num>
  <w:num w:numId="27" w16cid:durableId="601648309">
    <w:abstractNumId w:val="1"/>
  </w:num>
  <w:num w:numId="28" w16cid:durableId="477036984">
    <w:abstractNumId w:val="13"/>
  </w:num>
  <w:num w:numId="29" w16cid:durableId="109399579">
    <w:abstractNumId w:val="8"/>
  </w:num>
  <w:num w:numId="30" w16cid:durableId="743451586">
    <w:abstractNumId w:val="11"/>
  </w:num>
  <w:num w:numId="31" w16cid:durableId="1557935672">
    <w:abstractNumId w:val="30"/>
  </w:num>
  <w:num w:numId="32" w16cid:durableId="114374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2B10"/>
    <w:rsid w:val="00177F28"/>
    <w:rsid w:val="00190B83"/>
    <w:rsid w:val="00191A8D"/>
    <w:rsid w:val="001A0179"/>
    <w:rsid w:val="001A6064"/>
    <w:rsid w:val="001B101B"/>
    <w:rsid w:val="001B1231"/>
    <w:rsid w:val="001B4C38"/>
    <w:rsid w:val="001C1993"/>
    <w:rsid w:val="001C22AF"/>
    <w:rsid w:val="001C6583"/>
    <w:rsid w:val="001C74D6"/>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338C"/>
    <w:rsid w:val="002621FC"/>
    <w:rsid w:val="00266084"/>
    <w:rsid w:val="0027185F"/>
    <w:rsid w:val="00276FD4"/>
    <w:rsid w:val="002802AC"/>
    <w:rsid w:val="00282A50"/>
    <w:rsid w:val="00282CDC"/>
    <w:rsid w:val="002A410B"/>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7428A"/>
    <w:rsid w:val="00380D3E"/>
    <w:rsid w:val="0038160D"/>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710B"/>
    <w:rsid w:val="004832C9"/>
    <w:rsid w:val="00487F1A"/>
    <w:rsid w:val="004946B3"/>
    <w:rsid w:val="00494831"/>
    <w:rsid w:val="00495AB1"/>
    <w:rsid w:val="00496F7B"/>
    <w:rsid w:val="00497327"/>
    <w:rsid w:val="004A2824"/>
    <w:rsid w:val="004A39A8"/>
    <w:rsid w:val="004A4E57"/>
    <w:rsid w:val="004A5C3A"/>
    <w:rsid w:val="004C429E"/>
    <w:rsid w:val="004C4318"/>
    <w:rsid w:val="004C4FDE"/>
    <w:rsid w:val="004C5280"/>
    <w:rsid w:val="004C7843"/>
    <w:rsid w:val="004D4D48"/>
    <w:rsid w:val="004D514E"/>
    <w:rsid w:val="004E5124"/>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572F7"/>
    <w:rsid w:val="00660C2F"/>
    <w:rsid w:val="00664024"/>
    <w:rsid w:val="00667216"/>
    <w:rsid w:val="00681047"/>
    <w:rsid w:val="00681A80"/>
    <w:rsid w:val="00683B67"/>
    <w:rsid w:val="006B0EE1"/>
    <w:rsid w:val="006B7275"/>
    <w:rsid w:val="006C03FC"/>
    <w:rsid w:val="006C7C9E"/>
    <w:rsid w:val="006D72E3"/>
    <w:rsid w:val="006D7DF0"/>
    <w:rsid w:val="006E0A1F"/>
    <w:rsid w:val="006F3BCF"/>
    <w:rsid w:val="006F4E5D"/>
    <w:rsid w:val="006F6B07"/>
    <w:rsid w:val="00704C5F"/>
    <w:rsid w:val="00705A5A"/>
    <w:rsid w:val="00706087"/>
    <w:rsid w:val="00706768"/>
    <w:rsid w:val="00711A25"/>
    <w:rsid w:val="00713AEE"/>
    <w:rsid w:val="007177F0"/>
    <w:rsid w:val="00717EC0"/>
    <w:rsid w:val="00724D04"/>
    <w:rsid w:val="00730B02"/>
    <w:rsid w:val="00734477"/>
    <w:rsid w:val="00742799"/>
    <w:rsid w:val="00743ADD"/>
    <w:rsid w:val="0074652B"/>
    <w:rsid w:val="00750BCF"/>
    <w:rsid w:val="007517FD"/>
    <w:rsid w:val="007637D1"/>
    <w:rsid w:val="00766BA2"/>
    <w:rsid w:val="00767498"/>
    <w:rsid w:val="0077456D"/>
    <w:rsid w:val="0077610F"/>
    <w:rsid w:val="00780AD5"/>
    <w:rsid w:val="00781CEF"/>
    <w:rsid w:val="00783866"/>
    <w:rsid w:val="00785769"/>
    <w:rsid w:val="00794F0E"/>
    <w:rsid w:val="00795469"/>
    <w:rsid w:val="00795892"/>
    <w:rsid w:val="00795BD0"/>
    <w:rsid w:val="007971A4"/>
    <w:rsid w:val="007A0568"/>
    <w:rsid w:val="007A65CC"/>
    <w:rsid w:val="007B33C8"/>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2B93"/>
    <w:rsid w:val="00872B2C"/>
    <w:rsid w:val="00875EAE"/>
    <w:rsid w:val="00876239"/>
    <w:rsid w:val="00880449"/>
    <w:rsid w:val="008808B6"/>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401B"/>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4942"/>
    <w:rsid w:val="009C663A"/>
    <w:rsid w:val="009C6894"/>
    <w:rsid w:val="009D209B"/>
    <w:rsid w:val="009D2CC7"/>
    <w:rsid w:val="009D3DDB"/>
    <w:rsid w:val="009F0E97"/>
    <w:rsid w:val="009F384E"/>
    <w:rsid w:val="009F3A1B"/>
    <w:rsid w:val="009F742E"/>
    <w:rsid w:val="00A00E85"/>
    <w:rsid w:val="00A03B40"/>
    <w:rsid w:val="00A06A40"/>
    <w:rsid w:val="00A165AC"/>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0DFA"/>
    <w:rsid w:val="00B1218B"/>
    <w:rsid w:val="00B1272C"/>
    <w:rsid w:val="00B1318F"/>
    <w:rsid w:val="00B135BC"/>
    <w:rsid w:val="00B1507E"/>
    <w:rsid w:val="00B15B7E"/>
    <w:rsid w:val="00B21619"/>
    <w:rsid w:val="00B230EE"/>
    <w:rsid w:val="00B35642"/>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1EA"/>
    <w:rsid w:val="00BD51F0"/>
    <w:rsid w:val="00BE25EC"/>
    <w:rsid w:val="00BF1DC8"/>
    <w:rsid w:val="00C17DB3"/>
    <w:rsid w:val="00C21297"/>
    <w:rsid w:val="00C319E7"/>
    <w:rsid w:val="00C32157"/>
    <w:rsid w:val="00C62367"/>
    <w:rsid w:val="00C6272E"/>
    <w:rsid w:val="00C74C0F"/>
    <w:rsid w:val="00C76D8C"/>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94F09"/>
    <w:rsid w:val="00D97074"/>
    <w:rsid w:val="00D97FED"/>
    <w:rsid w:val="00DA7CE3"/>
    <w:rsid w:val="00DB24C8"/>
    <w:rsid w:val="00DC2F7E"/>
    <w:rsid w:val="00DC4687"/>
    <w:rsid w:val="00DD09F6"/>
    <w:rsid w:val="00DD5390"/>
    <w:rsid w:val="00DE354B"/>
    <w:rsid w:val="00E03E72"/>
    <w:rsid w:val="00E11825"/>
    <w:rsid w:val="00E133CC"/>
    <w:rsid w:val="00E2338A"/>
    <w:rsid w:val="00E23852"/>
    <w:rsid w:val="00E32090"/>
    <w:rsid w:val="00E350CC"/>
    <w:rsid w:val="00E36294"/>
    <w:rsid w:val="00E368E4"/>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41E94"/>
    <w:rsid w:val="00F43406"/>
    <w:rsid w:val="00F43997"/>
    <w:rsid w:val="00F52432"/>
    <w:rsid w:val="00F53D30"/>
    <w:rsid w:val="00F5779E"/>
    <w:rsid w:val="00F600F4"/>
    <w:rsid w:val="00F60780"/>
    <w:rsid w:val="00F6419B"/>
    <w:rsid w:val="00F8330F"/>
    <w:rsid w:val="00F85145"/>
    <w:rsid w:val="00F876C3"/>
    <w:rsid w:val="00F92206"/>
    <w:rsid w:val="00F927C3"/>
    <w:rsid w:val="00FC0353"/>
    <w:rsid w:val="00FD5249"/>
    <w:rsid w:val="00FD6E45"/>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2</cp:revision>
  <cp:lastPrinted>2016-05-16T16:19:00Z</cp:lastPrinted>
  <dcterms:created xsi:type="dcterms:W3CDTF">2025-04-28T20:11:00Z</dcterms:created>
  <dcterms:modified xsi:type="dcterms:W3CDTF">2025-04-28T20:11:00Z</dcterms:modified>
</cp:coreProperties>
</file>